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8E52CA" w:rsidRPr="008E52CA" w14:paraId="0A032261" w14:textId="77777777" w:rsidTr="008E52CA">
        <w:tc>
          <w:tcPr>
            <w:tcW w:w="4531" w:type="dxa"/>
          </w:tcPr>
          <w:p w14:paraId="63B1DF47" w14:textId="1BBD1422" w:rsidR="008E52CA" w:rsidRPr="008E52CA" w:rsidRDefault="008E52CA" w:rsidP="008E52CA">
            <w:pPr>
              <w:jc w:val="center"/>
              <w:rPr>
                <w:b/>
                <w:bCs/>
              </w:rPr>
            </w:pPr>
            <w:r w:rsidRPr="008E52CA">
              <w:rPr>
                <w:b/>
                <w:bCs/>
                <w:noProof/>
                <w:lang w:eastAsia="hr-HR"/>
              </w:rPr>
              <w:drawing>
                <wp:inline distT="0" distB="0" distL="0" distR="0" wp14:anchorId="79F6B42C" wp14:editId="086AE556">
                  <wp:extent cx="352425" cy="4762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BB31" w14:textId="7D5C944A" w:rsidR="008E52CA" w:rsidRPr="008E52CA" w:rsidRDefault="008E52CA" w:rsidP="008E5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REPUBLIKA HRVATSKA</w:t>
            </w:r>
          </w:p>
          <w:p w14:paraId="164F37B8" w14:textId="77777777" w:rsidR="008E52CA" w:rsidRPr="008E52CA" w:rsidRDefault="008E52CA" w:rsidP="008E5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PRIMORSKO-GORANSKA ŽUPANIJA</w:t>
            </w:r>
          </w:p>
          <w:p w14:paraId="78195D6A" w14:textId="77777777" w:rsidR="008E52CA" w:rsidRPr="008E52CA" w:rsidRDefault="008E52CA" w:rsidP="008E5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2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OPĆINA OMIŠALJ</w:t>
            </w:r>
          </w:p>
          <w:p w14:paraId="12242A4D" w14:textId="04731483" w:rsidR="008E52CA" w:rsidRPr="008E52CA" w:rsidRDefault="008E52CA" w:rsidP="008E5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UPRAVNI ODJEL</w:t>
            </w:r>
          </w:p>
          <w:p w14:paraId="540AC8D1" w14:textId="77777777" w:rsidR="008E52CA" w:rsidRPr="008E52CA" w:rsidRDefault="008E52CA" w:rsidP="008E52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A17AA" w14:textId="4360233A" w:rsidR="008E52CA" w:rsidRPr="008E52CA" w:rsidRDefault="008E52CA" w:rsidP="008E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CA">
              <w:rPr>
                <w:rFonts w:ascii="Times New Roman" w:hAnsi="Times New Roman" w:cs="Times New Roman"/>
                <w:sz w:val="24"/>
                <w:szCs w:val="24"/>
              </w:rPr>
              <w:t>KLASA:</w:t>
            </w:r>
            <w:r w:rsidR="009E5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90F">
              <w:rPr>
                <w:rFonts w:ascii="Times New Roman" w:hAnsi="Times New Roman" w:cs="Times New Roman"/>
                <w:sz w:val="24"/>
                <w:szCs w:val="24"/>
              </w:rPr>
              <w:t>024-01/24-01/161</w:t>
            </w:r>
          </w:p>
          <w:p w14:paraId="6A1ADC87" w14:textId="7B2CCDF5" w:rsidR="008E52CA" w:rsidRPr="008E52CA" w:rsidRDefault="008E52CA" w:rsidP="008E5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2CA">
              <w:rPr>
                <w:rFonts w:ascii="Times New Roman" w:hAnsi="Times New Roman" w:cs="Times New Roman"/>
                <w:sz w:val="24"/>
                <w:szCs w:val="24"/>
              </w:rPr>
              <w:t>URBROJ: 2170-30-2</w:t>
            </w:r>
            <w:r w:rsidR="00230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52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00E2737" w14:textId="78AC25E7" w:rsidR="008E52CA" w:rsidRPr="008E52CA" w:rsidRDefault="008E52CA" w:rsidP="008E52C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52CA">
              <w:rPr>
                <w:rFonts w:ascii="Times New Roman" w:hAnsi="Times New Roman" w:cs="Times New Roman"/>
                <w:sz w:val="24"/>
                <w:szCs w:val="24"/>
              </w:rPr>
              <w:t xml:space="preserve">Omišalj, </w:t>
            </w:r>
            <w:r w:rsidR="0023069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prosinca 202</w:t>
            </w:r>
            <w:r w:rsidR="002306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23C40CE" w14:textId="77777777" w:rsidR="008E52CA" w:rsidRDefault="008E52CA" w:rsidP="008E52CA">
      <w:pPr>
        <w:jc w:val="both"/>
      </w:pPr>
    </w:p>
    <w:p w14:paraId="2188832A" w14:textId="251653D7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08E6">
        <w:rPr>
          <w:rFonts w:ascii="Times New Roman" w:hAnsi="Times New Roman" w:cs="Times New Roman"/>
          <w:sz w:val="24"/>
          <w:szCs w:val="24"/>
        </w:rPr>
        <w:t>Na temelju članka 39. Zakona o elektroničkim medi</w:t>
      </w:r>
      <w:r w:rsidRPr="006F77A0">
        <w:rPr>
          <w:rFonts w:ascii="Times New Roman" w:hAnsi="Times New Roman" w:cs="Times New Roman"/>
          <w:sz w:val="24"/>
          <w:szCs w:val="24"/>
        </w:rPr>
        <w:t>jima („Narodne novine“ broj 111/21</w:t>
      </w:r>
      <w:r w:rsidR="00644B89" w:rsidRPr="006F77A0">
        <w:rPr>
          <w:rFonts w:ascii="Times New Roman" w:hAnsi="Times New Roman" w:cs="Times New Roman"/>
          <w:sz w:val="24"/>
          <w:szCs w:val="24"/>
        </w:rPr>
        <w:t xml:space="preserve"> i 114/22, dalje u tekstu: Zakon</w:t>
      </w:r>
      <w:r w:rsidRPr="006F77A0">
        <w:rPr>
          <w:rFonts w:ascii="Times New Roman" w:hAnsi="Times New Roman" w:cs="Times New Roman"/>
          <w:sz w:val="24"/>
          <w:szCs w:val="24"/>
        </w:rPr>
        <w:t>)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, </w:t>
      </w:r>
      <w:r w:rsidR="00C33CEF" w:rsidRPr="006F77A0">
        <w:rPr>
          <w:rFonts w:ascii="Times New Roman" w:hAnsi="Times New Roman" w:cs="Times New Roman"/>
          <w:sz w:val="24"/>
          <w:szCs w:val="24"/>
        </w:rPr>
        <w:t>Upravni odjel Općine Omišalj</w:t>
      </w:r>
      <w:r w:rsidRPr="006F77A0">
        <w:rPr>
          <w:rFonts w:ascii="Times New Roman" w:hAnsi="Times New Roman" w:cs="Times New Roman"/>
          <w:sz w:val="24"/>
          <w:szCs w:val="24"/>
        </w:rPr>
        <w:t xml:space="preserve"> raspisuje</w:t>
      </w:r>
    </w:p>
    <w:p w14:paraId="0D1CA5D9" w14:textId="0788D355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00BAB" w14:textId="77777777" w:rsidR="006E08E6" w:rsidRPr="006F77A0" w:rsidRDefault="006E08E6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3232A" w14:textId="77777777" w:rsidR="005564D4" w:rsidRPr="006F77A0" w:rsidRDefault="005564D4" w:rsidP="006E0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JAVNI POZIV</w:t>
      </w:r>
    </w:p>
    <w:p w14:paraId="3C38D7FA" w14:textId="0EA8FBFD" w:rsidR="005564D4" w:rsidRPr="006F77A0" w:rsidRDefault="005564D4" w:rsidP="006E08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za financiranje programskih sadr</w:t>
      </w:r>
      <w:r w:rsidR="00066A66" w:rsidRPr="006F77A0">
        <w:rPr>
          <w:rFonts w:ascii="Times New Roman" w:hAnsi="Times New Roman" w:cs="Times New Roman"/>
          <w:b/>
          <w:bCs/>
          <w:sz w:val="24"/>
          <w:szCs w:val="24"/>
        </w:rPr>
        <w:t>žaja elektroničkih medija u 202</w:t>
      </w:r>
      <w:r w:rsidR="0023069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77A0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6BC263DD" w14:textId="136C63E9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18B61" w14:textId="77777777" w:rsidR="006E08E6" w:rsidRPr="006F77A0" w:rsidRDefault="006E08E6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7E1185" w14:textId="6B70BA37" w:rsidR="005564D4" w:rsidRPr="006F77A0" w:rsidRDefault="005564D4" w:rsidP="006059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PREDMET JAVNOG POZIVA</w:t>
      </w:r>
    </w:p>
    <w:p w14:paraId="73FA7BEA" w14:textId="77777777" w:rsidR="00605916" w:rsidRPr="006F77A0" w:rsidRDefault="00605916" w:rsidP="0060591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2D516" w14:textId="1A07F0AD" w:rsidR="005564D4" w:rsidRPr="006F77A0" w:rsidRDefault="005564D4" w:rsidP="007C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 xml:space="preserve">Predmet javnog poziva je </w:t>
      </w:r>
      <w:bookmarkStart w:id="0" w:name="_Hlk90453755"/>
      <w:r w:rsidRPr="006F77A0">
        <w:rPr>
          <w:rFonts w:ascii="Times New Roman" w:hAnsi="Times New Roman" w:cs="Times New Roman"/>
          <w:sz w:val="24"/>
          <w:szCs w:val="24"/>
        </w:rPr>
        <w:t>prikupljanje prijava za financiranje programskih sadr</w:t>
      </w:r>
      <w:r w:rsidR="00066A66" w:rsidRPr="006F77A0">
        <w:rPr>
          <w:rFonts w:ascii="Times New Roman" w:hAnsi="Times New Roman" w:cs="Times New Roman"/>
          <w:sz w:val="24"/>
          <w:szCs w:val="24"/>
        </w:rPr>
        <w:t xml:space="preserve">žaja </w:t>
      </w:r>
      <w:r w:rsidR="007C0E2A" w:rsidRPr="007C0E2A">
        <w:rPr>
          <w:rFonts w:ascii="Times New Roman" w:hAnsi="Times New Roman" w:cs="Times New Roman"/>
          <w:sz w:val="24"/>
          <w:szCs w:val="24"/>
        </w:rPr>
        <w:t xml:space="preserve">regionalnih i lokalnih </w:t>
      </w:r>
      <w:r w:rsidR="00066A66" w:rsidRPr="006F77A0">
        <w:rPr>
          <w:rFonts w:ascii="Times New Roman" w:hAnsi="Times New Roman" w:cs="Times New Roman"/>
          <w:sz w:val="24"/>
          <w:szCs w:val="24"/>
        </w:rPr>
        <w:t>elektroničkih medija u 202</w:t>
      </w:r>
      <w:r w:rsidR="00230692">
        <w:rPr>
          <w:rFonts w:ascii="Times New Roman" w:hAnsi="Times New Roman" w:cs="Times New Roman"/>
          <w:sz w:val="24"/>
          <w:szCs w:val="24"/>
        </w:rPr>
        <w:t>5</w:t>
      </w:r>
      <w:r w:rsidRPr="006F77A0">
        <w:rPr>
          <w:rFonts w:ascii="Times New Roman" w:hAnsi="Times New Roman" w:cs="Times New Roman"/>
          <w:sz w:val="24"/>
          <w:szCs w:val="24"/>
        </w:rPr>
        <w:t>. godini.</w:t>
      </w:r>
      <w:bookmarkEnd w:id="0"/>
    </w:p>
    <w:p w14:paraId="2665888E" w14:textId="48D20C5A" w:rsidR="005564D4" w:rsidRPr="006F77A0" w:rsidRDefault="005564D4" w:rsidP="007C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Sukladno odredbama Zakona</w:t>
      </w:r>
      <w:r w:rsidR="00605916" w:rsidRPr="006F77A0">
        <w:rPr>
          <w:rFonts w:ascii="Times New Roman" w:hAnsi="Times New Roman" w:cs="Times New Roman"/>
          <w:sz w:val="24"/>
          <w:szCs w:val="24"/>
        </w:rPr>
        <w:t>,</w:t>
      </w:r>
      <w:r w:rsidRPr="006F77A0">
        <w:rPr>
          <w:rFonts w:ascii="Times New Roman" w:hAnsi="Times New Roman" w:cs="Times New Roman"/>
          <w:sz w:val="24"/>
          <w:szCs w:val="24"/>
        </w:rPr>
        <w:t xml:space="preserve"> elektronički mediji su audiovizualni programi, radijski programi i elektroničke publikacije</w:t>
      </w:r>
      <w:r w:rsidR="007C0E2A">
        <w:rPr>
          <w:rFonts w:ascii="Times New Roman" w:hAnsi="Times New Roman" w:cs="Times New Roman"/>
          <w:sz w:val="24"/>
          <w:szCs w:val="24"/>
        </w:rPr>
        <w:t xml:space="preserve"> (portali)</w:t>
      </w:r>
      <w:r w:rsidRPr="006F77A0">
        <w:rPr>
          <w:rFonts w:ascii="Times New Roman" w:hAnsi="Times New Roman" w:cs="Times New Roman"/>
          <w:sz w:val="24"/>
          <w:szCs w:val="24"/>
        </w:rPr>
        <w:t>.</w:t>
      </w:r>
    </w:p>
    <w:p w14:paraId="20348814" w14:textId="20F07F55" w:rsidR="005564D4" w:rsidRPr="006F77A0" w:rsidRDefault="005564D4" w:rsidP="007C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 xml:space="preserve">Pod programskim sadržajima podrazumijevaju se </w:t>
      </w:r>
      <w:r w:rsidR="007C0E2A" w:rsidRPr="007C0E2A">
        <w:rPr>
          <w:rFonts w:ascii="Times New Roman" w:hAnsi="Times New Roman" w:cs="Times New Roman"/>
          <w:sz w:val="24"/>
          <w:szCs w:val="24"/>
        </w:rPr>
        <w:t xml:space="preserve">tematske emisije, objave koje su izdvojene u tematske cjeline, pojedinačne objave i sl., a koje su </w:t>
      </w:r>
      <w:r w:rsidR="00D74B7F">
        <w:rPr>
          <w:rFonts w:ascii="Times New Roman" w:hAnsi="Times New Roman" w:cs="Times New Roman"/>
          <w:sz w:val="24"/>
          <w:szCs w:val="24"/>
        </w:rPr>
        <w:t xml:space="preserve">od 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interesa za </w:t>
      </w:r>
      <w:r w:rsidR="006E08E6" w:rsidRPr="006F77A0">
        <w:rPr>
          <w:rFonts w:ascii="Times New Roman" w:hAnsi="Times New Roman" w:cs="Times New Roman"/>
          <w:sz w:val="24"/>
          <w:szCs w:val="24"/>
        </w:rPr>
        <w:t>Općinu Omišalj</w:t>
      </w:r>
      <w:r w:rsidRPr="006F77A0">
        <w:rPr>
          <w:rFonts w:ascii="Times New Roman" w:hAnsi="Times New Roman" w:cs="Times New Roman"/>
          <w:sz w:val="24"/>
          <w:szCs w:val="24"/>
        </w:rPr>
        <w:t>.</w:t>
      </w:r>
    </w:p>
    <w:p w14:paraId="7ABBC0C9" w14:textId="29189B27" w:rsidR="007C0E2A" w:rsidRPr="007C0E2A" w:rsidRDefault="007C0E2A" w:rsidP="007C0E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459628"/>
      <w:r w:rsidRPr="007C0E2A">
        <w:rPr>
          <w:rFonts w:ascii="Times New Roman" w:hAnsi="Times New Roman" w:cs="Times New Roman"/>
          <w:sz w:val="24"/>
          <w:szCs w:val="24"/>
        </w:rPr>
        <w:t xml:space="preserve">Cilj financiranja proizvodnje i objave programskih sadržaja je informiranje građana o projektima i programima </w:t>
      </w:r>
      <w:r>
        <w:rPr>
          <w:rFonts w:ascii="Times New Roman" w:hAnsi="Times New Roman" w:cs="Times New Roman"/>
          <w:sz w:val="24"/>
          <w:szCs w:val="24"/>
        </w:rPr>
        <w:t>Općine Omišalj</w:t>
      </w:r>
      <w:r w:rsidRPr="007C0E2A">
        <w:rPr>
          <w:rFonts w:ascii="Times New Roman" w:hAnsi="Times New Roman" w:cs="Times New Roman"/>
          <w:sz w:val="24"/>
          <w:szCs w:val="24"/>
        </w:rPr>
        <w:t xml:space="preserve"> i s područja </w:t>
      </w:r>
      <w:r>
        <w:rPr>
          <w:rFonts w:ascii="Times New Roman" w:hAnsi="Times New Roman" w:cs="Times New Roman"/>
          <w:sz w:val="24"/>
          <w:szCs w:val="24"/>
        </w:rPr>
        <w:t>općine Omišalj</w:t>
      </w:r>
      <w:r w:rsidRPr="007C0E2A">
        <w:rPr>
          <w:rFonts w:ascii="Times New Roman" w:hAnsi="Times New Roman" w:cs="Times New Roman"/>
          <w:sz w:val="24"/>
          <w:szCs w:val="24"/>
        </w:rPr>
        <w:t xml:space="preserve">, a koji su od interesa za građane </w:t>
      </w:r>
      <w:r>
        <w:rPr>
          <w:rFonts w:ascii="Times New Roman" w:hAnsi="Times New Roman" w:cs="Times New Roman"/>
          <w:sz w:val="24"/>
          <w:szCs w:val="24"/>
        </w:rPr>
        <w:t>Omišlja i Njivica</w:t>
      </w:r>
      <w:r w:rsidRPr="007C0E2A">
        <w:rPr>
          <w:rFonts w:ascii="Times New Roman" w:hAnsi="Times New Roman" w:cs="Times New Roman"/>
          <w:sz w:val="24"/>
          <w:szCs w:val="24"/>
        </w:rPr>
        <w:t xml:space="preserve"> te o odlukama, uslugama i uopće radu </w:t>
      </w:r>
      <w:r>
        <w:rPr>
          <w:rFonts w:ascii="Times New Roman" w:hAnsi="Times New Roman" w:cs="Times New Roman"/>
          <w:sz w:val="24"/>
          <w:szCs w:val="24"/>
        </w:rPr>
        <w:t>Općine Omišalj</w:t>
      </w:r>
      <w:r w:rsidRPr="007C0E2A">
        <w:rPr>
          <w:rFonts w:ascii="Times New Roman" w:hAnsi="Times New Roman" w:cs="Times New Roman"/>
          <w:sz w:val="24"/>
          <w:szCs w:val="24"/>
        </w:rPr>
        <w:t xml:space="preserve"> kojim se zadovoljavaju potrebe i ostvaruju interesi građana </w:t>
      </w:r>
      <w:r>
        <w:rPr>
          <w:rFonts w:ascii="Times New Roman" w:hAnsi="Times New Roman" w:cs="Times New Roman"/>
          <w:sz w:val="24"/>
          <w:szCs w:val="24"/>
        </w:rPr>
        <w:t>Omišlja i Njivica</w:t>
      </w:r>
      <w:r w:rsidRPr="007C0E2A">
        <w:rPr>
          <w:rFonts w:ascii="Times New Roman" w:hAnsi="Times New Roman" w:cs="Times New Roman"/>
          <w:sz w:val="24"/>
          <w:szCs w:val="24"/>
        </w:rPr>
        <w:t>.</w:t>
      </w:r>
    </w:p>
    <w:p w14:paraId="280A6F15" w14:textId="7F3CBCEE" w:rsidR="005564D4" w:rsidRPr="006F77A0" w:rsidRDefault="005564D4" w:rsidP="006059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UVJETI ZA PRIJAVU NA JAVNI POZIV</w:t>
      </w:r>
    </w:p>
    <w:p w14:paraId="41D5255B" w14:textId="77777777" w:rsidR="007C0E2A" w:rsidRDefault="007C0E2A" w:rsidP="007C0E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41936" w14:textId="1F020309" w:rsidR="007C0E2A" w:rsidRPr="007C0E2A" w:rsidRDefault="007C0E2A" w:rsidP="007C0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E2A">
        <w:rPr>
          <w:rFonts w:ascii="Times New Roman" w:hAnsi="Times New Roman" w:cs="Times New Roman"/>
          <w:sz w:val="24"/>
          <w:szCs w:val="24"/>
        </w:rPr>
        <w:t>Na Javni poziv se mogu prijaviti nakladnici regionalnih i lokalnih elektroničkih medija koji imaju sjedište</w:t>
      </w:r>
      <w:r w:rsidR="00D74B7F">
        <w:rPr>
          <w:rFonts w:ascii="Times New Roman" w:hAnsi="Times New Roman" w:cs="Times New Roman"/>
          <w:sz w:val="24"/>
          <w:szCs w:val="24"/>
        </w:rPr>
        <w:t xml:space="preserve"> </w:t>
      </w:r>
      <w:r w:rsidRPr="007C0E2A">
        <w:rPr>
          <w:rFonts w:ascii="Times New Roman" w:hAnsi="Times New Roman" w:cs="Times New Roman"/>
          <w:sz w:val="24"/>
          <w:szCs w:val="24"/>
        </w:rPr>
        <w:t>u Republici Hrvatskoj i koji su upisani u knjige pružanja medijskih usluga odnosno elektroničkih publikacija Agencije za elektroničke medije.</w:t>
      </w:r>
    </w:p>
    <w:p w14:paraId="2081F577" w14:textId="77777777" w:rsidR="007C0E2A" w:rsidRDefault="007C0E2A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E23AD" w14:textId="40774624" w:rsidR="00EB42C4" w:rsidRPr="006F77A0" w:rsidRDefault="00EB42C4" w:rsidP="00EB4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Pravo na dodjelu financijskih sredstava ne mogu ostvariti nakladnici:</w:t>
      </w:r>
    </w:p>
    <w:p w14:paraId="04E28818" w14:textId="77777777" w:rsidR="00EB42C4" w:rsidRPr="006F77A0" w:rsidRDefault="00EB42C4" w:rsidP="00EB4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koji za isti programski sadržaj ostvaruju potporu iz sredstava Fonda za poticanje i pluralizam elektroničkih medija, državnog proračuna ili proračuna Europske unije,</w:t>
      </w:r>
    </w:p>
    <w:p w14:paraId="4080A6BD" w14:textId="77777777" w:rsidR="00EB42C4" w:rsidRPr="006F77A0" w:rsidRDefault="00EB42C4" w:rsidP="00EB4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koji su u likvidaciji ili u stečajnom postupku,</w:t>
      </w:r>
    </w:p>
    <w:p w14:paraId="009F3CFB" w14:textId="5AC90DFE" w:rsidR="00EB42C4" w:rsidRPr="006F77A0" w:rsidRDefault="00EB42C4" w:rsidP="00EB42C4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koji imaju nepodmirenih obveza prema Općini Omišalj.</w:t>
      </w:r>
    </w:p>
    <w:p w14:paraId="056D11F4" w14:textId="4456711E" w:rsidR="00EB42C4" w:rsidRDefault="00EB42C4" w:rsidP="006E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064B535" w14:textId="77777777" w:rsidR="008E52CA" w:rsidRDefault="008E52CA" w:rsidP="006E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4DED22E" w14:textId="77777777" w:rsidR="008E52CA" w:rsidRDefault="008E52CA" w:rsidP="006E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D8B086C" w14:textId="77777777" w:rsidR="008E52CA" w:rsidRDefault="008E52CA" w:rsidP="006E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7C1E46FA" w14:textId="77777777" w:rsidR="008E52CA" w:rsidRDefault="008E52CA" w:rsidP="006E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2F6C8D" w14:textId="77777777" w:rsidR="008E52CA" w:rsidRPr="006F77A0" w:rsidRDefault="008E52CA" w:rsidP="006E08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DA3931F" w14:textId="6750039F" w:rsidR="00605916" w:rsidRPr="006F77A0" w:rsidRDefault="005564D4" w:rsidP="0060591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KRITERIJI DODJELE FINANCIJSKIH SREDSTAVA </w:t>
      </w:r>
      <w:bookmarkEnd w:id="1"/>
    </w:p>
    <w:p w14:paraId="7BF09D73" w14:textId="7CB8EE86" w:rsidR="00547893" w:rsidRPr="006F77A0" w:rsidRDefault="00547893" w:rsidP="0060591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</w:p>
    <w:p w14:paraId="58D54CC5" w14:textId="325A1953" w:rsidR="005564D4" w:rsidRPr="006F77A0" w:rsidRDefault="005564D4" w:rsidP="006E08E6">
      <w:pPr>
        <w:spacing w:after="0" w:line="240" w:lineRule="auto"/>
        <w:rPr>
          <w:rFonts w:ascii="Times New Roman" w:eastAsia="Roboto" w:hAnsi="Times New Roman" w:cs="Times New Roman"/>
          <w:sz w:val="24"/>
          <w:szCs w:val="24"/>
        </w:rPr>
      </w:pPr>
      <w:r w:rsidRPr="006F77A0">
        <w:rPr>
          <w:rFonts w:ascii="Times New Roman" w:eastAsia="Roboto" w:hAnsi="Times New Roman" w:cs="Times New Roman"/>
          <w:sz w:val="24"/>
          <w:szCs w:val="24"/>
        </w:rPr>
        <w:t>Kriteriji temeljem kojih će se utvrđivati prednost</w:t>
      </w:r>
      <w:r w:rsidR="00547893" w:rsidRPr="006F77A0">
        <w:rPr>
          <w:rFonts w:ascii="Times New Roman" w:eastAsia="Roboto" w:hAnsi="Times New Roman" w:cs="Times New Roman"/>
          <w:sz w:val="24"/>
          <w:szCs w:val="24"/>
        </w:rPr>
        <w:t xml:space="preserve"> prijavljenog projekta/programa </w:t>
      </w:r>
      <w:r w:rsidRPr="006F77A0">
        <w:rPr>
          <w:rFonts w:ascii="Times New Roman" w:eastAsia="Roboto" w:hAnsi="Times New Roman" w:cs="Times New Roman"/>
          <w:sz w:val="24"/>
          <w:szCs w:val="24"/>
        </w:rPr>
        <w:t>su:</w:t>
      </w:r>
    </w:p>
    <w:p w14:paraId="458A50E8" w14:textId="664EA042" w:rsidR="00EB42C4" w:rsidRPr="006F77A0" w:rsidRDefault="00EB42C4" w:rsidP="006E08E6">
      <w:pPr>
        <w:spacing w:after="0" w:line="240" w:lineRule="auto"/>
        <w:rPr>
          <w:rFonts w:ascii="Times New Roman" w:eastAsia="Roboto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91" w:type="dxa"/>
        <w:tblLook w:val="04A0" w:firstRow="1" w:lastRow="0" w:firstColumn="1" w:lastColumn="0" w:noHBand="0" w:noVBand="1"/>
      </w:tblPr>
      <w:tblGrid>
        <w:gridCol w:w="6252"/>
        <w:gridCol w:w="2839"/>
      </w:tblGrid>
      <w:tr w:rsidR="006F77A0" w:rsidRPr="006F77A0" w14:paraId="79DCB5B2" w14:textId="77777777" w:rsidTr="00EB42C4">
        <w:trPr>
          <w:trHeight w:val="487"/>
        </w:trPr>
        <w:tc>
          <w:tcPr>
            <w:tcW w:w="6252" w:type="dxa"/>
            <w:vAlign w:val="center"/>
          </w:tcPr>
          <w:p w14:paraId="34076E21" w14:textId="35E5D08F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2839" w:type="dxa"/>
            <w:vAlign w:val="center"/>
          </w:tcPr>
          <w:p w14:paraId="1C18AE20" w14:textId="41C03257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>BROJ BODOVA</w:t>
            </w:r>
          </w:p>
        </w:tc>
      </w:tr>
      <w:tr w:rsidR="006F77A0" w:rsidRPr="006F77A0" w14:paraId="3BCF5679" w14:textId="77777777" w:rsidTr="00EB42C4">
        <w:trPr>
          <w:trHeight w:val="487"/>
        </w:trPr>
        <w:tc>
          <w:tcPr>
            <w:tcW w:w="6252" w:type="dxa"/>
            <w:vAlign w:val="center"/>
          </w:tcPr>
          <w:p w14:paraId="23337716" w14:textId="77777777" w:rsidR="00EB42C4" w:rsidRPr="006F77A0" w:rsidRDefault="00EB42C4" w:rsidP="00EB42C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  <w:vAlign w:val="center"/>
          </w:tcPr>
          <w:p w14:paraId="086C3F91" w14:textId="77777777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</w:p>
        </w:tc>
      </w:tr>
      <w:tr w:rsidR="006F77A0" w:rsidRPr="006F77A0" w14:paraId="19EF87C3" w14:textId="77777777" w:rsidTr="00EB42C4">
        <w:trPr>
          <w:trHeight w:val="487"/>
        </w:trPr>
        <w:tc>
          <w:tcPr>
            <w:tcW w:w="6252" w:type="dxa"/>
            <w:vAlign w:val="center"/>
          </w:tcPr>
          <w:p w14:paraId="1C352DA9" w14:textId="6691BE9A" w:rsidR="00EB42C4" w:rsidRPr="006F77A0" w:rsidRDefault="00EB42C4" w:rsidP="00EB42C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Kvaliteta, kreativnost, inovativnost, autorski pristup u osmišljavanju programskog sadržaja od interesa za Općinu Omišalj i njene građane</w:t>
            </w:r>
            <w:r w:rsidR="00605916"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  <w:vAlign w:val="center"/>
          </w:tcPr>
          <w:p w14:paraId="3F256DBB" w14:textId="1F25DE36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0 – 10 </w:t>
            </w:r>
          </w:p>
        </w:tc>
      </w:tr>
      <w:tr w:rsidR="006F77A0" w:rsidRPr="006F77A0" w14:paraId="5505F005" w14:textId="77777777" w:rsidTr="00EB42C4">
        <w:trPr>
          <w:trHeight w:val="487"/>
        </w:trPr>
        <w:tc>
          <w:tcPr>
            <w:tcW w:w="6252" w:type="dxa"/>
            <w:vAlign w:val="center"/>
          </w:tcPr>
          <w:p w14:paraId="1537FBBD" w14:textId="15292589" w:rsidR="00EB42C4" w:rsidRPr="006F77A0" w:rsidRDefault="00EB42C4" w:rsidP="00EB42C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Lokalni karakter programskog sadržaja (usmjerenost na praćenje događaja na području općine Omišalj), usmjerenost na teme iz područja nadležnosti Općine Omišalj koje su od interesa za građane </w:t>
            </w:r>
            <w:r w:rsidR="00605916"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općine Omišalj</w:t>
            </w: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 xml:space="preserve"> (projekti, programi, odluke i usluge namijenjene građanima).</w:t>
            </w:r>
          </w:p>
        </w:tc>
        <w:tc>
          <w:tcPr>
            <w:tcW w:w="2839" w:type="dxa"/>
            <w:vAlign w:val="center"/>
          </w:tcPr>
          <w:p w14:paraId="1FC14878" w14:textId="6B3384FB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0 – 10</w:t>
            </w:r>
          </w:p>
        </w:tc>
      </w:tr>
      <w:tr w:rsidR="006F77A0" w:rsidRPr="006F77A0" w14:paraId="756AD278" w14:textId="77777777" w:rsidTr="00EB42C4">
        <w:trPr>
          <w:trHeight w:val="487"/>
        </w:trPr>
        <w:tc>
          <w:tcPr>
            <w:tcW w:w="6252" w:type="dxa"/>
            <w:vAlign w:val="center"/>
          </w:tcPr>
          <w:p w14:paraId="5FD5D425" w14:textId="55656FD9" w:rsidR="00EB42C4" w:rsidRPr="006F77A0" w:rsidRDefault="00EB42C4" w:rsidP="00EB42C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Kvantiteta objava i dinamika objavljivanja programskog sadržaja koji se predlaže u televizijskom, radijskom programu i elektroničkim publikacijama pružatelja medijskih usluga prijavitelja na Javni poziv (vrijeme emitiranja i trajanje emitiranja kod radijskog i TV programa, pozicija objava: naslovnica, posebna rubrika, trajanje dostupnosti objave na predloženoj poziciji i slično).</w:t>
            </w:r>
          </w:p>
        </w:tc>
        <w:tc>
          <w:tcPr>
            <w:tcW w:w="2839" w:type="dxa"/>
            <w:vAlign w:val="center"/>
          </w:tcPr>
          <w:p w14:paraId="29387199" w14:textId="3281822D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0 – 10</w:t>
            </w:r>
          </w:p>
        </w:tc>
      </w:tr>
      <w:tr w:rsidR="006F77A0" w:rsidRPr="006F77A0" w14:paraId="667B9C70" w14:textId="77777777" w:rsidTr="00EB42C4">
        <w:trPr>
          <w:trHeight w:val="487"/>
        </w:trPr>
        <w:tc>
          <w:tcPr>
            <w:tcW w:w="6252" w:type="dxa"/>
            <w:vAlign w:val="center"/>
          </w:tcPr>
          <w:p w14:paraId="1E194845" w14:textId="34266146" w:rsidR="00EB42C4" w:rsidRPr="006F77A0" w:rsidRDefault="00EB42C4" w:rsidP="00EB42C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Doseg objava pojedinog medija (priložiti istraživanje recentnijeg datuma i/ili analitiku o slušanosti/gledanosti radijskog i TV programa prijavitelja odnosno o količini pregleda programskih sadržaja elektroničke publikacije tj. web portala prijavitelja).</w:t>
            </w:r>
          </w:p>
        </w:tc>
        <w:tc>
          <w:tcPr>
            <w:tcW w:w="2839" w:type="dxa"/>
            <w:vAlign w:val="center"/>
          </w:tcPr>
          <w:p w14:paraId="4AF65083" w14:textId="2D6BCEE4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0 – 10</w:t>
            </w:r>
          </w:p>
        </w:tc>
      </w:tr>
      <w:tr w:rsidR="006F77A0" w:rsidRPr="006F77A0" w14:paraId="5BDA02C6" w14:textId="77777777" w:rsidTr="00EB42C4">
        <w:trPr>
          <w:trHeight w:val="487"/>
        </w:trPr>
        <w:tc>
          <w:tcPr>
            <w:tcW w:w="6252" w:type="dxa"/>
            <w:vAlign w:val="center"/>
          </w:tcPr>
          <w:p w14:paraId="2F2D4F47" w14:textId="4E6D8293" w:rsidR="00EB42C4" w:rsidRPr="006F77A0" w:rsidRDefault="00EB42C4" w:rsidP="00EB42C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Prisustvo novinara na terenu, video i foto materijali s raznih događanja s terena područja općine Omišalj.</w:t>
            </w:r>
          </w:p>
        </w:tc>
        <w:tc>
          <w:tcPr>
            <w:tcW w:w="2839" w:type="dxa"/>
            <w:vAlign w:val="center"/>
          </w:tcPr>
          <w:p w14:paraId="7847216B" w14:textId="1BECD2CD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0 – 10</w:t>
            </w:r>
          </w:p>
        </w:tc>
      </w:tr>
      <w:tr w:rsidR="006F77A0" w:rsidRPr="006F77A0" w14:paraId="38FFD2F1" w14:textId="77777777" w:rsidTr="00EB42C4">
        <w:trPr>
          <w:trHeight w:val="514"/>
        </w:trPr>
        <w:tc>
          <w:tcPr>
            <w:tcW w:w="6252" w:type="dxa"/>
            <w:vAlign w:val="center"/>
          </w:tcPr>
          <w:p w14:paraId="55A95E57" w14:textId="7BB69E3E" w:rsidR="00EB42C4" w:rsidRPr="006F77A0" w:rsidRDefault="00EB42C4" w:rsidP="00EB42C4">
            <w:pPr>
              <w:spacing w:line="240" w:lineRule="auto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Prethodno iskustvo i suradnja s Općinom Omišalj.</w:t>
            </w:r>
          </w:p>
        </w:tc>
        <w:tc>
          <w:tcPr>
            <w:tcW w:w="2839" w:type="dxa"/>
            <w:vAlign w:val="center"/>
          </w:tcPr>
          <w:p w14:paraId="5D950579" w14:textId="675FD15F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sz w:val="24"/>
                <w:szCs w:val="24"/>
              </w:rPr>
              <w:t>0 – 10</w:t>
            </w:r>
          </w:p>
        </w:tc>
      </w:tr>
      <w:tr w:rsidR="006F77A0" w:rsidRPr="006F77A0" w14:paraId="2BFBCC32" w14:textId="77777777" w:rsidTr="00EB42C4">
        <w:trPr>
          <w:trHeight w:val="460"/>
        </w:trPr>
        <w:tc>
          <w:tcPr>
            <w:tcW w:w="6252" w:type="dxa"/>
            <w:vAlign w:val="center"/>
          </w:tcPr>
          <w:p w14:paraId="35C14C36" w14:textId="2B1CB0DC" w:rsidR="00EB42C4" w:rsidRPr="006F77A0" w:rsidRDefault="00EB42C4" w:rsidP="00EB42C4">
            <w:pPr>
              <w:spacing w:line="240" w:lineRule="auto"/>
              <w:jc w:val="right"/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839" w:type="dxa"/>
            <w:vAlign w:val="center"/>
          </w:tcPr>
          <w:p w14:paraId="53959180" w14:textId="1F034ABF" w:rsidR="00EB42C4" w:rsidRPr="006F77A0" w:rsidRDefault="00EB42C4" w:rsidP="00EB42C4">
            <w:pPr>
              <w:spacing w:line="240" w:lineRule="auto"/>
              <w:jc w:val="center"/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</w:pPr>
            <w:r w:rsidRPr="006F77A0">
              <w:rPr>
                <w:rFonts w:ascii="Times New Roman" w:eastAsia="Roboto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14:paraId="7166E4DB" w14:textId="1366A072" w:rsidR="00EB42C4" w:rsidRPr="006F77A0" w:rsidRDefault="00EB42C4" w:rsidP="006E08E6">
      <w:pPr>
        <w:spacing w:after="0" w:line="240" w:lineRule="auto"/>
        <w:rPr>
          <w:rFonts w:ascii="Times New Roman" w:eastAsia="Roboto" w:hAnsi="Times New Roman" w:cs="Times New Roman"/>
          <w:b/>
          <w:bCs/>
          <w:sz w:val="24"/>
          <w:szCs w:val="24"/>
        </w:rPr>
      </w:pPr>
    </w:p>
    <w:p w14:paraId="6325E4B1" w14:textId="218A46BF" w:rsidR="00EB42C4" w:rsidRPr="006F77A0" w:rsidRDefault="00EB42C4" w:rsidP="00EB42C4">
      <w:pPr>
        <w:spacing w:after="0" w:line="240" w:lineRule="auto"/>
        <w:jc w:val="both"/>
        <w:rPr>
          <w:rFonts w:ascii="Times New Roman" w:eastAsia="Roboto" w:hAnsi="Times New Roman" w:cs="Times New Roman"/>
          <w:sz w:val="24"/>
          <w:szCs w:val="24"/>
        </w:rPr>
      </w:pPr>
      <w:r w:rsidRPr="006F77A0">
        <w:rPr>
          <w:rFonts w:ascii="Times New Roman" w:eastAsia="Roboto" w:hAnsi="Times New Roman" w:cs="Times New Roman"/>
          <w:sz w:val="24"/>
          <w:szCs w:val="24"/>
        </w:rPr>
        <w:t>Općina Omišalj će uzeti u razmatranje financiranje programskih sadržaja elektroničkih medija prijavitelja koji su ostvarili minimalno 50% od ukupno maksimalnih bodova.</w:t>
      </w:r>
    </w:p>
    <w:p w14:paraId="33954B8F" w14:textId="77777777" w:rsidR="00EB42C4" w:rsidRDefault="00EB42C4" w:rsidP="006E08E6">
      <w:pPr>
        <w:spacing w:after="0" w:line="240" w:lineRule="auto"/>
        <w:rPr>
          <w:rFonts w:ascii="Times New Roman" w:eastAsia="Roboto" w:hAnsi="Times New Roman" w:cs="Times New Roman"/>
          <w:b/>
          <w:bCs/>
          <w:sz w:val="24"/>
          <w:szCs w:val="24"/>
        </w:rPr>
      </w:pPr>
    </w:p>
    <w:p w14:paraId="2B7EFA0E" w14:textId="033D1276" w:rsidR="005564D4" w:rsidRPr="006F77A0" w:rsidRDefault="005564D4" w:rsidP="006059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SADRŽAJ PRIJAVE</w:t>
      </w:r>
    </w:p>
    <w:p w14:paraId="2AD9DE97" w14:textId="77777777" w:rsidR="00605916" w:rsidRPr="006F77A0" w:rsidRDefault="00605916" w:rsidP="0060591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BC2FA" w14:textId="77777777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Prijava na Javni poziv sadrži sljedeću dokumentaciju:</w:t>
      </w:r>
    </w:p>
    <w:p w14:paraId="1283CD23" w14:textId="3DD60D32" w:rsidR="005564D4" w:rsidRPr="006F77A0" w:rsidRDefault="005564D4" w:rsidP="006E08E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Obrazac 1</w:t>
      </w:r>
      <w:r w:rsidR="00C379DB" w:rsidRPr="006F77A0">
        <w:rPr>
          <w:rFonts w:ascii="Times New Roman" w:hAnsi="Times New Roman" w:cs="Times New Roman"/>
          <w:sz w:val="24"/>
          <w:szCs w:val="24"/>
        </w:rPr>
        <w:t xml:space="preserve"> - </w:t>
      </w:r>
      <w:r w:rsidRPr="006F77A0">
        <w:rPr>
          <w:rFonts w:ascii="Times New Roman" w:hAnsi="Times New Roman" w:cs="Times New Roman"/>
          <w:sz w:val="24"/>
          <w:szCs w:val="24"/>
        </w:rPr>
        <w:t>ispunjen u cijelosti, ovjeren pečatom i potpisom osobe ovlaštene za zastupanje</w:t>
      </w:r>
      <w:r w:rsidR="00C379DB" w:rsidRPr="006F77A0">
        <w:rPr>
          <w:rFonts w:ascii="Times New Roman" w:hAnsi="Times New Roman" w:cs="Times New Roman"/>
          <w:sz w:val="24"/>
          <w:szCs w:val="24"/>
        </w:rPr>
        <w:t>,</w:t>
      </w:r>
    </w:p>
    <w:p w14:paraId="656162CC" w14:textId="0049FEE1" w:rsidR="005564D4" w:rsidRPr="006F77A0" w:rsidRDefault="005564D4" w:rsidP="006E08E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2521529"/>
      <w:r w:rsidRPr="006F77A0">
        <w:rPr>
          <w:rFonts w:ascii="Times New Roman" w:hAnsi="Times New Roman" w:cs="Times New Roman"/>
          <w:sz w:val="24"/>
          <w:szCs w:val="24"/>
        </w:rPr>
        <w:t>Obrazac 2</w:t>
      </w:r>
      <w:r w:rsidR="00C379DB" w:rsidRPr="006F77A0">
        <w:rPr>
          <w:rFonts w:ascii="Times New Roman" w:hAnsi="Times New Roman" w:cs="Times New Roman"/>
          <w:sz w:val="24"/>
          <w:szCs w:val="24"/>
        </w:rPr>
        <w:t xml:space="preserve"> - </w:t>
      </w:r>
      <w:r w:rsidRPr="006F77A0">
        <w:rPr>
          <w:rFonts w:ascii="Times New Roman" w:hAnsi="Times New Roman" w:cs="Times New Roman"/>
          <w:sz w:val="24"/>
          <w:szCs w:val="24"/>
        </w:rPr>
        <w:t>podaci o programskom sadržaju</w:t>
      </w:r>
      <w:bookmarkEnd w:id="2"/>
      <w:r w:rsidR="00C379DB" w:rsidRPr="006F77A0">
        <w:rPr>
          <w:rFonts w:ascii="Times New Roman" w:hAnsi="Times New Roman" w:cs="Times New Roman"/>
          <w:sz w:val="24"/>
          <w:szCs w:val="24"/>
        </w:rPr>
        <w:t>,</w:t>
      </w:r>
    </w:p>
    <w:p w14:paraId="14D9788B" w14:textId="72AA80B7" w:rsidR="00177773" w:rsidRPr="006F77A0" w:rsidRDefault="00C379DB" w:rsidP="001777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bookmarkStart w:id="3" w:name="_Hlk122522152"/>
      <w:r w:rsidRPr="006F77A0">
        <w:rPr>
          <w:rFonts w:ascii="Times New Roman" w:hAnsi="Times New Roman" w:cs="Times New Roman"/>
          <w:sz w:val="24"/>
          <w:szCs w:val="24"/>
        </w:rPr>
        <w:t>O</w:t>
      </w:r>
      <w:r w:rsidR="00177773" w:rsidRPr="006F77A0">
        <w:rPr>
          <w:rFonts w:ascii="Times New Roman" w:hAnsi="Times New Roman" w:cs="Times New Roman"/>
          <w:sz w:val="24"/>
          <w:szCs w:val="24"/>
        </w:rPr>
        <w:t>brazac</w:t>
      </w:r>
      <w:r w:rsidRPr="006F77A0">
        <w:rPr>
          <w:rFonts w:ascii="Times New Roman" w:hAnsi="Times New Roman" w:cs="Times New Roman"/>
          <w:sz w:val="24"/>
          <w:szCs w:val="24"/>
        </w:rPr>
        <w:t xml:space="preserve"> 3 -</w:t>
      </w:r>
      <w:r w:rsidR="00177773" w:rsidRPr="006F77A0">
        <w:rPr>
          <w:rFonts w:ascii="Times New Roman" w:hAnsi="Times New Roman" w:cs="Times New Roman"/>
          <w:sz w:val="24"/>
          <w:szCs w:val="24"/>
        </w:rPr>
        <w:t xml:space="preserve"> Izjav</w:t>
      </w:r>
      <w:r w:rsidRPr="006F77A0">
        <w:rPr>
          <w:rFonts w:ascii="Times New Roman" w:hAnsi="Times New Roman" w:cs="Times New Roman"/>
          <w:sz w:val="24"/>
          <w:szCs w:val="24"/>
        </w:rPr>
        <w:t>a</w:t>
      </w:r>
      <w:r w:rsidR="00177773" w:rsidRPr="006F77A0">
        <w:rPr>
          <w:rFonts w:ascii="Times New Roman" w:hAnsi="Times New Roman" w:cs="Times New Roman"/>
          <w:sz w:val="24"/>
          <w:szCs w:val="24"/>
        </w:rPr>
        <w:t xml:space="preserve"> o nepostojanju zapreke za financiranje,</w:t>
      </w:r>
    </w:p>
    <w:bookmarkEnd w:id="3"/>
    <w:p w14:paraId="641816F5" w14:textId="398C9283" w:rsidR="005564D4" w:rsidRPr="006F77A0" w:rsidRDefault="005564D4" w:rsidP="006E08E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Izvadak iz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 </w:t>
      </w:r>
      <w:r w:rsidRPr="006F77A0">
        <w:rPr>
          <w:rFonts w:ascii="Times New Roman" w:hAnsi="Times New Roman" w:cs="Times New Roman"/>
          <w:sz w:val="24"/>
          <w:szCs w:val="24"/>
        </w:rPr>
        <w:t>Upisnika medijskih usluga koji se vodi pri Vijeću za elektroničke medije</w:t>
      </w:r>
      <w:r w:rsidR="00605916" w:rsidRPr="006F77A0">
        <w:rPr>
          <w:rFonts w:ascii="Times New Roman" w:hAnsi="Times New Roman" w:cs="Times New Roman"/>
          <w:sz w:val="24"/>
          <w:szCs w:val="24"/>
        </w:rPr>
        <w:t>,</w:t>
      </w:r>
    </w:p>
    <w:p w14:paraId="60FFD6E0" w14:textId="780790FC" w:rsidR="00CA1C01" w:rsidRPr="00CA1C01" w:rsidRDefault="00177773" w:rsidP="00CA1C0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prilog</w:t>
      </w:r>
      <w:r w:rsidR="00230692">
        <w:rPr>
          <w:rFonts w:ascii="Times New Roman" w:hAnsi="Times New Roman" w:cs="Times New Roman"/>
          <w:sz w:val="24"/>
          <w:szCs w:val="24"/>
        </w:rPr>
        <w:t>e</w:t>
      </w:r>
      <w:r w:rsidRPr="006F77A0">
        <w:rPr>
          <w:rFonts w:ascii="Times New Roman" w:hAnsi="Times New Roman" w:cs="Times New Roman"/>
          <w:sz w:val="24"/>
          <w:szCs w:val="24"/>
        </w:rPr>
        <w:t xml:space="preserve">: </w:t>
      </w:r>
      <w:r w:rsidR="00CA1C01">
        <w:rPr>
          <w:rFonts w:ascii="Times New Roman" w:hAnsi="Times New Roman" w:cs="Times New Roman"/>
          <w:sz w:val="24"/>
          <w:szCs w:val="24"/>
        </w:rPr>
        <w:t xml:space="preserve">1) </w:t>
      </w:r>
      <w:r w:rsidR="00CA1C01" w:rsidRPr="00CA1C01">
        <w:rPr>
          <w:rFonts w:ascii="Times New Roman" w:hAnsi="Times New Roman" w:cs="Times New Roman"/>
          <w:sz w:val="24"/>
          <w:szCs w:val="24"/>
        </w:rPr>
        <w:t>izvješće Google Analytics ili Gemius Rating za elektroničke publikacije za najmanje dva mjeseca (listopad 2024., studeni 2024.)</w:t>
      </w:r>
      <w:r w:rsidR="00CA1C01">
        <w:rPr>
          <w:rFonts w:ascii="Times New Roman" w:hAnsi="Times New Roman" w:cs="Times New Roman"/>
          <w:sz w:val="24"/>
          <w:szCs w:val="24"/>
        </w:rPr>
        <w:t xml:space="preserve"> i 2) </w:t>
      </w:r>
      <w:r w:rsidR="00CA1C01" w:rsidRPr="00CA1C01">
        <w:rPr>
          <w:rFonts w:ascii="Times New Roman" w:hAnsi="Times New Roman" w:cs="Times New Roman"/>
          <w:sz w:val="24"/>
          <w:szCs w:val="24"/>
        </w:rPr>
        <w:t>analitiku slušanosti/gledanosti radijskog i TV programa prijavitelja.</w:t>
      </w:r>
    </w:p>
    <w:p w14:paraId="1A206489" w14:textId="51E331FB" w:rsidR="00177773" w:rsidRPr="00CA1C01" w:rsidRDefault="00177773" w:rsidP="00CA1C0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728189" w14:textId="77777777" w:rsidR="00177773" w:rsidRPr="006F77A0" w:rsidRDefault="00177773" w:rsidP="0017777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358F99" w14:textId="27E83E6B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lastRenderedPageBreak/>
        <w:t>Prijedlozi programskih sadržaja dostavljaju se isključivo na propisanim obrascima koji su dostupni na službenim mre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žnim stranicama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Općine Omišalj.</w:t>
      </w:r>
      <w:r w:rsidRPr="006F7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284D9" w14:textId="77777777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Obrasci se ispunjavaju isključivo pomoću računala.</w:t>
      </w:r>
    </w:p>
    <w:p w14:paraId="25255FF8" w14:textId="731A8CCE" w:rsidR="00177773" w:rsidRPr="006F77A0" w:rsidRDefault="00177773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Prijavitelj može na Javni poziv prijaviti više programskih sadržaja. U tom slučaju programski se sadržaji prijavljuju odvojeno, odnosno za svaki se programski sadržaj korist</w:t>
      </w:r>
      <w:r w:rsidR="00505539">
        <w:rPr>
          <w:rFonts w:ascii="Times New Roman" w:hAnsi="Times New Roman" w:cs="Times New Roman"/>
          <w:sz w:val="24"/>
          <w:szCs w:val="24"/>
        </w:rPr>
        <w:t>e</w:t>
      </w:r>
      <w:r w:rsidRPr="006F77A0">
        <w:rPr>
          <w:rFonts w:ascii="Times New Roman" w:hAnsi="Times New Roman" w:cs="Times New Roman"/>
          <w:sz w:val="24"/>
          <w:szCs w:val="24"/>
        </w:rPr>
        <w:t xml:space="preserve"> zasebni </w:t>
      </w:r>
      <w:r w:rsidR="00605916" w:rsidRPr="006F77A0">
        <w:rPr>
          <w:rFonts w:ascii="Times New Roman" w:hAnsi="Times New Roman" w:cs="Times New Roman"/>
          <w:sz w:val="24"/>
          <w:szCs w:val="24"/>
        </w:rPr>
        <w:t>obrasci</w:t>
      </w:r>
      <w:r w:rsidRPr="006F77A0">
        <w:rPr>
          <w:rFonts w:ascii="Times New Roman" w:hAnsi="Times New Roman" w:cs="Times New Roman"/>
          <w:sz w:val="24"/>
          <w:szCs w:val="24"/>
        </w:rPr>
        <w:t>.</w:t>
      </w:r>
    </w:p>
    <w:p w14:paraId="24DAC2C6" w14:textId="77777777" w:rsidR="00867E0E" w:rsidRPr="006F77A0" w:rsidRDefault="00867E0E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4E7D8" w14:textId="6AEA2A70" w:rsidR="005564D4" w:rsidRPr="006F77A0" w:rsidRDefault="005564D4" w:rsidP="006059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NAČIN PRIJAVE</w:t>
      </w:r>
    </w:p>
    <w:p w14:paraId="552E43C1" w14:textId="77777777" w:rsidR="00605916" w:rsidRPr="006F77A0" w:rsidRDefault="00605916" w:rsidP="0060591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CF3EBC" w14:textId="53ABC145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Prijava i pripadajuća dokumentacij</w:t>
      </w:r>
      <w:r w:rsidR="00177773" w:rsidRPr="006F77A0">
        <w:rPr>
          <w:rFonts w:ascii="Times New Roman" w:hAnsi="Times New Roman" w:cs="Times New Roman"/>
          <w:sz w:val="24"/>
          <w:szCs w:val="24"/>
        </w:rPr>
        <w:t>a</w:t>
      </w:r>
      <w:r w:rsidRPr="006F77A0">
        <w:rPr>
          <w:rFonts w:ascii="Times New Roman" w:hAnsi="Times New Roman" w:cs="Times New Roman"/>
          <w:sz w:val="24"/>
          <w:szCs w:val="24"/>
        </w:rPr>
        <w:t xml:space="preserve"> predaje se poštom preporučeno u zatvorenoj omotnici n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a adresu: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Općina Omišalj, Prikešte 13, 51513 Omišalj,</w:t>
      </w:r>
      <w:r w:rsidRPr="006F77A0">
        <w:rPr>
          <w:rFonts w:ascii="Times New Roman" w:hAnsi="Times New Roman" w:cs="Times New Roman"/>
          <w:sz w:val="24"/>
          <w:szCs w:val="24"/>
        </w:rPr>
        <w:t xml:space="preserve"> s naznakom: „Ne otva</w:t>
      </w:r>
      <w:r w:rsidR="003D6ED2" w:rsidRPr="006F77A0">
        <w:rPr>
          <w:rFonts w:ascii="Times New Roman" w:hAnsi="Times New Roman" w:cs="Times New Roman"/>
          <w:sz w:val="24"/>
          <w:szCs w:val="24"/>
        </w:rPr>
        <w:t>raj - Elektronički mediji u 202</w:t>
      </w:r>
      <w:r w:rsidR="00CA1C01">
        <w:rPr>
          <w:rFonts w:ascii="Times New Roman" w:hAnsi="Times New Roman" w:cs="Times New Roman"/>
          <w:sz w:val="24"/>
          <w:szCs w:val="24"/>
        </w:rPr>
        <w:t>5</w:t>
      </w:r>
      <w:r w:rsidRPr="006F77A0">
        <w:rPr>
          <w:rFonts w:ascii="Times New Roman" w:hAnsi="Times New Roman" w:cs="Times New Roman"/>
          <w:sz w:val="24"/>
          <w:szCs w:val="24"/>
        </w:rPr>
        <w:t>. godini“</w:t>
      </w:r>
    </w:p>
    <w:p w14:paraId="7494058F" w14:textId="77777777" w:rsidR="00867E0E" w:rsidRDefault="00867E0E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A67009" w14:textId="2B9B0EC3" w:rsidR="005564D4" w:rsidRPr="006F77A0" w:rsidRDefault="005564D4" w:rsidP="006059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ROK ZA PODNOŠENJE PRIJAVE</w:t>
      </w:r>
    </w:p>
    <w:p w14:paraId="24FD7C6C" w14:textId="77777777" w:rsidR="00605916" w:rsidRPr="006F77A0" w:rsidRDefault="00605916" w:rsidP="0060591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4FCE2" w14:textId="2B3490C7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 xml:space="preserve">Prijave na Javni poziv s pripadajućom dokumentacijom podnose se u roku od </w:t>
      </w:r>
      <w:r w:rsidR="00D74B7F">
        <w:rPr>
          <w:rFonts w:ascii="Times New Roman" w:hAnsi="Times New Roman" w:cs="Times New Roman"/>
          <w:sz w:val="24"/>
          <w:szCs w:val="24"/>
        </w:rPr>
        <w:t>8</w:t>
      </w:r>
      <w:r w:rsidRPr="006F77A0">
        <w:rPr>
          <w:rFonts w:ascii="Times New Roman" w:hAnsi="Times New Roman" w:cs="Times New Roman"/>
          <w:sz w:val="24"/>
          <w:szCs w:val="24"/>
        </w:rPr>
        <w:t xml:space="preserve"> (</w:t>
      </w:r>
      <w:r w:rsidR="00D74B7F">
        <w:rPr>
          <w:rFonts w:ascii="Times New Roman" w:hAnsi="Times New Roman" w:cs="Times New Roman"/>
          <w:sz w:val="24"/>
          <w:szCs w:val="24"/>
        </w:rPr>
        <w:t>osam</w:t>
      </w:r>
      <w:r w:rsidRPr="006F77A0">
        <w:rPr>
          <w:rFonts w:ascii="Times New Roman" w:hAnsi="Times New Roman" w:cs="Times New Roman"/>
          <w:sz w:val="24"/>
          <w:szCs w:val="24"/>
        </w:rPr>
        <w:t>) dana od dana objave Javnog poziva na m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režnoj stranici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Općine Omišalj</w:t>
      </w:r>
      <w:r w:rsidR="00505539">
        <w:rPr>
          <w:rFonts w:ascii="Times New Roman" w:hAnsi="Times New Roman" w:cs="Times New Roman"/>
          <w:sz w:val="24"/>
          <w:szCs w:val="24"/>
        </w:rPr>
        <w:t xml:space="preserve"> zaključno do </w:t>
      </w:r>
      <w:r w:rsidR="00F47E7B">
        <w:rPr>
          <w:rFonts w:ascii="Times New Roman" w:hAnsi="Times New Roman" w:cs="Times New Roman"/>
          <w:sz w:val="24"/>
          <w:szCs w:val="24"/>
        </w:rPr>
        <w:t>9. siječnja</w:t>
      </w:r>
      <w:r w:rsidR="00D74B7F">
        <w:rPr>
          <w:rFonts w:ascii="Times New Roman" w:hAnsi="Times New Roman" w:cs="Times New Roman"/>
          <w:sz w:val="24"/>
          <w:szCs w:val="24"/>
        </w:rPr>
        <w:t xml:space="preserve"> 202</w:t>
      </w:r>
      <w:r w:rsidR="000402D7">
        <w:rPr>
          <w:rFonts w:ascii="Times New Roman" w:hAnsi="Times New Roman" w:cs="Times New Roman"/>
          <w:sz w:val="24"/>
          <w:szCs w:val="24"/>
        </w:rPr>
        <w:t>5</w:t>
      </w:r>
      <w:r w:rsidR="00D74B7F">
        <w:rPr>
          <w:rFonts w:ascii="Times New Roman" w:hAnsi="Times New Roman" w:cs="Times New Roman"/>
          <w:sz w:val="24"/>
          <w:szCs w:val="24"/>
        </w:rPr>
        <w:t>.</w:t>
      </w:r>
      <w:r w:rsidR="00177773" w:rsidRPr="006F77A0">
        <w:rPr>
          <w:rFonts w:ascii="Times New Roman" w:hAnsi="Times New Roman" w:cs="Times New Roman"/>
          <w:sz w:val="24"/>
          <w:szCs w:val="24"/>
        </w:rPr>
        <w:t xml:space="preserve"> </w:t>
      </w:r>
      <w:r w:rsidRPr="006F7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64E5B" w14:textId="7D2C6054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Prijave na Javni poziv koje ne budu podnesene u gore utvrđenom roku, na način i u obliku opisanima u točkama II., IV. i V. ovog Javnog poziva smatrat će se neprihvatljivima i neće se razmatrati.</w:t>
      </w:r>
    </w:p>
    <w:p w14:paraId="6FF8D465" w14:textId="77777777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Razmatrat će se samo programski sadržaji koji su pravodobno prijavljeni te koji u cijelosti zadovoljavanu propisane uvjete Javnog poziva.</w:t>
      </w:r>
    </w:p>
    <w:p w14:paraId="1565658B" w14:textId="77777777" w:rsidR="00125BBC" w:rsidRDefault="00F35BEF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 xml:space="preserve">Odluku o dodjeli financijskih sredstava donosi </w:t>
      </w:r>
      <w:r w:rsidR="00D74B7F"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6F77A0">
        <w:rPr>
          <w:rFonts w:ascii="Times New Roman" w:hAnsi="Times New Roman" w:cs="Times New Roman"/>
          <w:sz w:val="24"/>
          <w:szCs w:val="24"/>
        </w:rPr>
        <w:t xml:space="preserve">načelnik na prijedlog Povjerenstva </w:t>
      </w:r>
      <w:bookmarkStart w:id="4" w:name="_Hlk153457636"/>
      <w:r w:rsidRPr="006F77A0">
        <w:rPr>
          <w:rFonts w:ascii="Times New Roman" w:hAnsi="Times New Roman" w:cs="Times New Roman"/>
          <w:sz w:val="24"/>
          <w:szCs w:val="24"/>
        </w:rPr>
        <w:t>za procjenu prijava</w:t>
      </w:r>
      <w:bookmarkEnd w:id="4"/>
      <w:r w:rsidRPr="006F77A0">
        <w:rPr>
          <w:rFonts w:ascii="Times New Roman" w:hAnsi="Times New Roman" w:cs="Times New Roman"/>
          <w:sz w:val="24"/>
          <w:szCs w:val="24"/>
        </w:rPr>
        <w:t>.</w:t>
      </w:r>
      <w:r w:rsidR="00605916" w:rsidRPr="006F7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69E23" w14:textId="77777777" w:rsidR="00125BBC" w:rsidRPr="006F77A0" w:rsidRDefault="00125BBC" w:rsidP="00125BBC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 xml:space="preserve">Povjerenstvo za procjenu prijava imenuje </w:t>
      </w:r>
      <w:r>
        <w:rPr>
          <w:rFonts w:ascii="Times New Roman" w:hAnsi="Times New Roman" w:cs="Times New Roman"/>
          <w:sz w:val="24"/>
          <w:szCs w:val="24"/>
        </w:rPr>
        <w:t>Općinski načelnik</w:t>
      </w:r>
      <w:r w:rsidRPr="006F7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odlukom</w:t>
      </w:r>
      <w:r w:rsidRPr="006F77A0">
        <w:rPr>
          <w:rFonts w:ascii="Times New Roman" w:hAnsi="Times New Roman" w:cs="Times New Roman"/>
          <w:sz w:val="24"/>
          <w:szCs w:val="24"/>
        </w:rPr>
        <w:t>.</w:t>
      </w:r>
    </w:p>
    <w:p w14:paraId="798D66B9" w14:textId="77777777" w:rsidR="00125BBC" w:rsidRPr="006F77A0" w:rsidRDefault="00125BBC" w:rsidP="00125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Povjerenstvo zadržava pravo zatražiti nadopunu odnosno obrazloženje navoda u Obrascu 2.</w:t>
      </w:r>
    </w:p>
    <w:p w14:paraId="37F910A4" w14:textId="78DABF97" w:rsidR="005564D4" w:rsidRPr="006F77A0" w:rsidRDefault="00605916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Financijska sredstva osigurana su u Proračunu Općine Omišalj za 202</w:t>
      </w:r>
      <w:r w:rsidR="00F47E7B">
        <w:rPr>
          <w:rFonts w:ascii="Times New Roman" w:hAnsi="Times New Roman" w:cs="Times New Roman"/>
          <w:sz w:val="24"/>
          <w:szCs w:val="24"/>
        </w:rPr>
        <w:t>5</w:t>
      </w:r>
      <w:r w:rsidRPr="006F77A0">
        <w:rPr>
          <w:rFonts w:ascii="Times New Roman" w:hAnsi="Times New Roman" w:cs="Times New Roman"/>
          <w:sz w:val="24"/>
          <w:szCs w:val="24"/>
        </w:rPr>
        <w:t xml:space="preserve">. godinu, Program </w:t>
      </w:r>
      <w:r w:rsidR="006F77A0" w:rsidRPr="006F77A0">
        <w:rPr>
          <w:rFonts w:ascii="Times New Roman" w:hAnsi="Times New Roman" w:cs="Times New Roman"/>
          <w:sz w:val="24"/>
          <w:szCs w:val="24"/>
        </w:rPr>
        <w:t>1421, A170180 Financiranje elektroničkih medija, pozicija 59.</w:t>
      </w:r>
    </w:p>
    <w:p w14:paraId="039D76B2" w14:textId="77777777" w:rsidR="00867E0E" w:rsidRPr="006F77A0" w:rsidRDefault="00867E0E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0ADA1" w14:textId="27AFFF10" w:rsidR="005564D4" w:rsidRPr="006F77A0" w:rsidRDefault="005564D4" w:rsidP="006059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REZULTATI JAVNOG POZIVA, PRAVO PRIGOVORA I POTPISIVANJE UGOVORA</w:t>
      </w:r>
    </w:p>
    <w:p w14:paraId="690CB606" w14:textId="77777777" w:rsidR="00605916" w:rsidRPr="006F77A0" w:rsidRDefault="00605916" w:rsidP="0060591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1F678" w14:textId="69DE1541" w:rsidR="005564D4" w:rsidRPr="006F77A0" w:rsidRDefault="003D6ED2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 xml:space="preserve">Rezultati </w:t>
      </w:r>
      <w:r w:rsidR="005564D4" w:rsidRPr="006F77A0">
        <w:rPr>
          <w:rFonts w:ascii="Times New Roman" w:hAnsi="Times New Roman" w:cs="Times New Roman"/>
          <w:sz w:val="24"/>
          <w:szCs w:val="24"/>
        </w:rPr>
        <w:t>Javnog poziva objavit će se na službenoj m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režnoj stranici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Općine Omišalj</w:t>
      </w:r>
      <w:r w:rsidR="005564D4" w:rsidRPr="006F77A0">
        <w:rPr>
          <w:rFonts w:ascii="Times New Roman" w:hAnsi="Times New Roman" w:cs="Times New Roman"/>
          <w:sz w:val="24"/>
          <w:szCs w:val="24"/>
        </w:rPr>
        <w:t xml:space="preserve"> u roku od 8 (osam) dana od dana odabira. </w:t>
      </w:r>
    </w:p>
    <w:p w14:paraId="4AD93289" w14:textId="77777777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Zaprimljene prijave na javni poziv se ne vraćaju.</w:t>
      </w:r>
    </w:p>
    <w:p w14:paraId="6D833255" w14:textId="4ABEF3BB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Prijavitelji imaju pravo na prigovor na Odluku o dodjeli financijskih sredstava.</w:t>
      </w:r>
      <w:r w:rsidR="00125BBC">
        <w:rPr>
          <w:rFonts w:ascii="Times New Roman" w:hAnsi="Times New Roman" w:cs="Times New Roman"/>
          <w:sz w:val="24"/>
          <w:szCs w:val="24"/>
        </w:rPr>
        <w:t xml:space="preserve"> </w:t>
      </w:r>
      <w:r w:rsidRPr="006F77A0">
        <w:rPr>
          <w:rFonts w:ascii="Times New Roman" w:hAnsi="Times New Roman" w:cs="Times New Roman"/>
          <w:sz w:val="24"/>
          <w:szCs w:val="24"/>
        </w:rPr>
        <w:t>Rok za podnošenje prigovora je 8 (osam) dana od objave Odluke o dodjeli financijskih sredstava na mre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žnim stranicama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Općine Omišalj.</w:t>
      </w:r>
      <w:r w:rsidR="00125BBC">
        <w:rPr>
          <w:rFonts w:ascii="Times New Roman" w:hAnsi="Times New Roman" w:cs="Times New Roman"/>
          <w:sz w:val="24"/>
          <w:szCs w:val="24"/>
        </w:rPr>
        <w:t xml:space="preserve"> </w:t>
      </w:r>
      <w:r w:rsidRPr="006F77A0">
        <w:rPr>
          <w:rFonts w:ascii="Times New Roman" w:hAnsi="Times New Roman" w:cs="Times New Roman"/>
          <w:sz w:val="24"/>
          <w:szCs w:val="24"/>
        </w:rPr>
        <w:t xml:space="preserve">O prigovoru odlučuje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Općinski načelnik</w:t>
      </w:r>
      <w:r w:rsidRPr="006F77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2EDCE4" w14:textId="7E9700F0" w:rsidR="005564D4" w:rsidRPr="006F77A0" w:rsidRDefault="005564D4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 xml:space="preserve">Prijavitelji kojima se odobre financijska sredstva </w:t>
      </w:r>
      <w:r w:rsidR="00B81227" w:rsidRPr="006F77A0">
        <w:rPr>
          <w:rFonts w:ascii="Times New Roman" w:hAnsi="Times New Roman" w:cs="Times New Roman"/>
          <w:sz w:val="24"/>
          <w:szCs w:val="24"/>
        </w:rPr>
        <w:t>sklopit će</w:t>
      </w:r>
      <w:r w:rsidR="00125BBC">
        <w:rPr>
          <w:rFonts w:ascii="Times New Roman" w:hAnsi="Times New Roman" w:cs="Times New Roman"/>
          <w:sz w:val="24"/>
          <w:szCs w:val="24"/>
        </w:rPr>
        <w:t xml:space="preserve"> s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Općinom Omišalj</w:t>
      </w:r>
      <w:r w:rsidR="00605916" w:rsidRPr="006F77A0">
        <w:rPr>
          <w:rFonts w:ascii="Times New Roman" w:hAnsi="Times New Roman" w:cs="Times New Roman"/>
          <w:sz w:val="24"/>
          <w:szCs w:val="24"/>
        </w:rPr>
        <w:t xml:space="preserve"> u</w:t>
      </w:r>
      <w:r w:rsidRPr="006F77A0">
        <w:rPr>
          <w:rFonts w:ascii="Times New Roman" w:hAnsi="Times New Roman" w:cs="Times New Roman"/>
          <w:sz w:val="24"/>
          <w:szCs w:val="24"/>
        </w:rPr>
        <w:t>govor o financiranju programskih sadržaja kojim će se regulirati međusobna prava i obveze korisnika financij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skih sredstva i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Općine Omišalj.</w:t>
      </w:r>
      <w:r w:rsidRPr="006F77A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2CB64" w14:textId="2F01916C" w:rsidR="006E08E6" w:rsidRDefault="006E08E6" w:rsidP="006E08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CF3F6" w14:textId="712E7AF3" w:rsidR="005564D4" w:rsidRPr="006F77A0" w:rsidRDefault="005564D4" w:rsidP="0060591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NAČIN OBJAVE INFORMACIJA</w:t>
      </w:r>
    </w:p>
    <w:p w14:paraId="40CC1AD7" w14:textId="77777777" w:rsidR="00605916" w:rsidRPr="006F77A0" w:rsidRDefault="00605916" w:rsidP="00605916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68DEB5" w14:textId="08713388" w:rsidR="00177773" w:rsidRPr="006F77A0" w:rsidRDefault="005564D4" w:rsidP="0017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7A0">
        <w:rPr>
          <w:rFonts w:ascii="Times New Roman" w:hAnsi="Times New Roman" w:cs="Times New Roman"/>
          <w:sz w:val="24"/>
          <w:szCs w:val="24"/>
        </w:rPr>
        <w:t>Informacije o ovom Javnom pozivu, propisani obrasci i dokumentacija te sve obavijesti i promjene uz ovaj Javni poziv kao i Odluka o dodjeli financijskih sredstava bit će objavljene na m</w:t>
      </w:r>
      <w:r w:rsidR="00B81227" w:rsidRPr="006F77A0">
        <w:rPr>
          <w:rFonts w:ascii="Times New Roman" w:hAnsi="Times New Roman" w:cs="Times New Roman"/>
          <w:sz w:val="24"/>
          <w:szCs w:val="24"/>
        </w:rPr>
        <w:t xml:space="preserve">režnoj stranici </w:t>
      </w:r>
      <w:r w:rsidR="00177773" w:rsidRPr="006F77A0">
        <w:rPr>
          <w:rFonts w:ascii="Times New Roman" w:hAnsi="Times New Roman" w:cs="Times New Roman"/>
          <w:sz w:val="24"/>
          <w:szCs w:val="24"/>
        </w:rPr>
        <w:t>Općine Omišalj.</w:t>
      </w:r>
    </w:p>
    <w:p w14:paraId="3F5CE195" w14:textId="77777777" w:rsidR="00177773" w:rsidRPr="006F77A0" w:rsidRDefault="00177773" w:rsidP="0017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D50A5" w14:textId="77777777" w:rsidR="00177773" w:rsidRDefault="00177773" w:rsidP="00177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7FC03" w14:textId="77777777" w:rsidR="00125BBC" w:rsidRDefault="00125BBC" w:rsidP="001777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03D4D7" w14:textId="020BEC61" w:rsidR="00177773" w:rsidRPr="006F77A0" w:rsidRDefault="00177773" w:rsidP="0017777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F77A0">
        <w:rPr>
          <w:rFonts w:ascii="Times New Roman" w:hAnsi="Times New Roman" w:cs="Times New Roman"/>
          <w:b/>
          <w:bCs/>
          <w:sz w:val="24"/>
          <w:szCs w:val="24"/>
        </w:rPr>
        <w:t>Upravni odjel Općine Omišalj</w:t>
      </w:r>
    </w:p>
    <w:sectPr w:rsidR="00177773" w:rsidRPr="006F77A0" w:rsidSect="00C4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9D92A" w14:textId="77777777" w:rsidR="008961D7" w:rsidRDefault="008961D7" w:rsidP="00547893">
      <w:pPr>
        <w:spacing w:after="0" w:line="240" w:lineRule="auto"/>
      </w:pPr>
      <w:r>
        <w:separator/>
      </w:r>
    </w:p>
  </w:endnote>
  <w:endnote w:type="continuationSeparator" w:id="0">
    <w:p w14:paraId="1ED2A0DC" w14:textId="77777777" w:rsidR="008961D7" w:rsidRDefault="008961D7" w:rsidP="0054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49394" w14:textId="77777777" w:rsidR="008961D7" w:rsidRDefault="008961D7" w:rsidP="00547893">
      <w:pPr>
        <w:spacing w:after="0" w:line="240" w:lineRule="auto"/>
      </w:pPr>
      <w:r>
        <w:separator/>
      </w:r>
    </w:p>
  </w:footnote>
  <w:footnote w:type="continuationSeparator" w:id="0">
    <w:p w14:paraId="0B67771F" w14:textId="77777777" w:rsidR="008961D7" w:rsidRDefault="008961D7" w:rsidP="0054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79C"/>
    <w:multiLevelType w:val="multilevel"/>
    <w:tmpl w:val="36E0A960"/>
    <w:lvl w:ilvl="0">
      <w:start w:val="4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DE7755"/>
    <w:multiLevelType w:val="multilevel"/>
    <w:tmpl w:val="8A90365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F01F0F"/>
    <w:multiLevelType w:val="multilevel"/>
    <w:tmpl w:val="7CBCAD1E"/>
    <w:lvl w:ilvl="0">
      <w:start w:val="2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FB424D"/>
    <w:multiLevelType w:val="multilevel"/>
    <w:tmpl w:val="A782ABCE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E64A4D"/>
    <w:multiLevelType w:val="hybridMultilevel"/>
    <w:tmpl w:val="706428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6474C"/>
    <w:multiLevelType w:val="multilevel"/>
    <w:tmpl w:val="EC2E4616"/>
    <w:lvl w:ilvl="0">
      <w:start w:val="5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E805E8"/>
    <w:multiLevelType w:val="hybridMultilevel"/>
    <w:tmpl w:val="58B69072"/>
    <w:lvl w:ilvl="0" w:tplc="FC6A1DF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D521D"/>
    <w:multiLevelType w:val="multilevel"/>
    <w:tmpl w:val="F0987CB6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70B71"/>
    <w:multiLevelType w:val="hybridMultilevel"/>
    <w:tmpl w:val="2228AC50"/>
    <w:lvl w:ilvl="0" w:tplc="4BEAA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F52C8"/>
    <w:multiLevelType w:val="multilevel"/>
    <w:tmpl w:val="1448781E"/>
    <w:lvl w:ilvl="0">
      <w:start w:val="3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color w:val="383838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831828804">
    <w:abstractNumId w:val="0"/>
  </w:num>
  <w:num w:numId="2" w16cid:durableId="1775858404">
    <w:abstractNumId w:val="1"/>
  </w:num>
  <w:num w:numId="3" w16cid:durableId="396628632">
    <w:abstractNumId w:val="3"/>
  </w:num>
  <w:num w:numId="4" w16cid:durableId="1078746612">
    <w:abstractNumId w:val="6"/>
  </w:num>
  <w:num w:numId="5" w16cid:durableId="1676347985">
    <w:abstractNumId w:val="2"/>
  </w:num>
  <w:num w:numId="6" w16cid:durableId="644898973">
    <w:abstractNumId w:val="11"/>
  </w:num>
  <w:num w:numId="7" w16cid:durableId="1118064103">
    <w:abstractNumId w:val="8"/>
  </w:num>
  <w:num w:numId="8" w16cid:durableId="1983924787">
    <w:abstractNumId w:val="9"/>
  </w:num>
  <w:num w:numId="9" w16cid:durableId="1759397822">
    <w:abstractNumId w:val="3"/>
  </w:num>
  <w:num w:numId="10" w16cid:durableId="20305209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129150">
    <w:abstractNumId w:val="4"/>
  </w:num>
  <w:num w:numId="12" w16cid:durableId="2126346922">
    <w:abstractNumId w:val="5"/>
  </w:num>
  <w:num w:numId="13" w16cid:durableId="425417987">
    <w:abstractNumId w:val="7"/>
  </w:num>
  <w:num w:numId="14" w16cid:durableId="1010176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5E"/>
    <w:rsid w:val="00000534"/>
    <w:rsid w:val="00037AAE"/>
    <w:rsid w:val="000402D7"/>
    <w:rsid w:val="00046554"/>
    <w:rsid w:val="000518B3"/>
    <w:rsid w:val="00066A66"/>
    <w:rsid w:val="0008560A"/>
    <w:rsid w:val="000946F8"/>
    <w:rsid w:val="00096D76"/>
    <w:rsid w:val="000A1023"/>
    <w:rsid w:val="000B45C5"/>
    <w:rsid w:val="000B6408"/>
    <w:rsid w:val="000C32BB"/>
    <w:rsid w:val="000D1FC9"/>
    <w:rsid w:val="000D5FE7"/>
    <w:rsid w:val="000D64B8"/>
    <w:rsid w:val="0010081D"/>
    <w:rsid w:val="00111916"/>
    <w:rsid w:val="00111CD9"/>
    <w:rsid w:val="00117E06"/>
    <w:rsid w:val="00125BBC"/>
    <w:rsid w:val="001263DF"/>
    <w:rsid w:val="001357F8"/>
    <w:rsid w:val="00165CA8"/>
    <w:rsid w:val="001662E3"/>
    <w:rsid w:val="001737E7"/>
    <w:rsid w:val="00177773"/>
    <w:rsid w:val="00192A3B"/>
    <w:rsid w:val="001E4BA9"/>
    <w:rsid w:val="001E5954"/>
    <w:rsid w:val="00205554"/>
    <w:rsid w:val="0020590F"/>
    <w:rsid w:val="00205FAB"/>
    <w:rsid w:val="00230692"/>
    <w:rsid w:val="002373DE"/>
    <w:rsid w:val="0025080F"/>
    <w:rsid w:val="00251997"/>
    <w:rsid w:val="002525CA"/>
    <w:rsid w:val="002575D1"/>
    <w:rsid w:val="00263A6E"/>
    <w:rsid w:val="00264FD9"/>
    <w:rsid w:val="00265B04"/>
    <w:rsid w:val="00274571"/>
    <w:rsid w:val="002846DB"/>
    <w:rsid w:val="002A0E13"/>
    <w:rsid w:val="002B502B"/>
    <w:rsid w:val="002C091D"/>
    <w:rsid w:val="002D7107"/>
    <w:rsid w:val="002D7F3D"/>
    <w:rsid w:val="003206B0"/>
    <w:rsid w:val="00323149"/>
    <w:rsid w:val="003375DC"/>
    <w:rsid w:val="00340DAA"/>
    <w:rsid w:val="0035001F"/>
    <w:rsid w:val="00357B45"/>
    <w:rsid w:val="003604A5"/>
    <w:rsid w:val="0036240C"/>
    <w:rsid w:val="00374FA2"/>
    <w:rsid w:val="0037786C"/>
    <w:rsid w:val="00382F71"/>
    <w:rsid w:val="003846EA"/>
    <w:rsid w:val="003A7E2E"/>
    <w:rsid w:val="003C1425"/>
    <w:rsid w:val="003C444D"/>
    <w:rsid w:val="003D6ED2"/>
    <w:rsid w:val="003E1E3D"/>
    <w:rsid w:val="00452269"/>
    <w:rsid w:val="004555DD"/>
    <w:rsid w:val="004722AB"/>
    <w:rsid w:val="00475830"/>
    <w:rsid w:val="00496963"/>
    <w:rsid w:val="004A5959"/>
    <w:rsid w:val="004A6119"/>
    <w:rsid w:val="004A78A8"/>
    <w:rsid w:val="004B132C"/>
    <w:rsid w:val="004B364C"/>
    <w:rsid w:val="004B61A0"/>
    <w:rsid w:val="004C4C48"/>
    <w:rsid w:val="004C520A"/>
    <w:rsid w:val="004D574F"/>
    <w:rsid w:val="004D7500"/>
    <w:rsid w:val="004E4CA1"/>
    <w:rsid w:val="00500DD9"/>
    <w:rsid w:val="00505384"/>
    <w:rsid w:val="00505530"/>
    <w:rsid w:val="00505539"/>
    <w:rsid w:val="00520314"/>
    <w:rsid w:val="00526849"/>
    <w:rsid w:val="005340C1"/>
    <w:rsid w:val="005344B0"/>
    <w:rsid w:val="00547893"/>
    <w:rsid w:val="0055038B"/>
    <w:rsid w:val="00550AC0"/>
    <w:rsid w:val="005564D4"/>
    <w:rsid w:val="00557E0A"/>
    <w:rsid w:val="00565899"/>
    <w:rsid w:val="005709B8"/>
    <w:rsid w:val="00583B5E"/>
    <w:rsid w:val="005A592D"/>
    <w:rsid w:val="005C49C5"/>
    <w:rsid w:val="005E11DE"/>
    <w:rsid w:val="00605916"/>
    <w:rsid w:val="00612FC7"/>
    <w:rsid w:val="00614225"/>
    <w:rsid w:val="0061424E"/>
    <w:rsid w:val="00614862"/>
    <w:rsid w:val="00615F72"/>
    <w:rsid w:val="0063507A"/>
    <w:rsid w:val="006407E5"/>
    <w:rsid w:val="00644B89"/>
    <w:rsid w:val="006527BD"/>
    <w:rsid w:val="00655132"/>
    <w:rsid w:val="00660803"/>
    <w:rsid w:val="00664FE2"/>
    <w:rsid w:val="0067151A"/>
    <w:rsid w:val="0067271B"/>
    <w:rsid w:val="006B1802"/>
    <w:rsid w:val="006B2C23"/>
    <w:rsid w:val="006E08E6"/>
    <w:rsid w:val="006E4509"/>
    <w:rsid w:val="006F77A0"/>
    <w:rsid w:val="00702580"/>
    <w:rsid w:val="00721779"/>
    <w:rsid w:val="00734F67"/>
    <w:rsid w:val="007422A9"/>
    <w:rsid w:val="00742A4A"/>
    <w:rsid w:val="007430E3"/>
    <w:rsid w:val="00750445"/>
    <w:rsid w:val="00770066"/>
    <w:rsid w:val="007724CE"/>
    <w:rsid w:val="00786BC4"/>
    <w:rsid w:val="00786CFB"/>
    <w:rsid w:val="007933CE"/>
    <w:rsid w:val="00793588"/>
    <w:rsid w:val="00797A05"/>
    <w:rsid w:val="007B71DE"/>
    <w:rsid w:val="007C0E2A"/>
    <w:rsid w:val="007C3E1F"/>
    <w:rsid w:val="007C60A3"/>
    <w:rsid w:val="0082498A"/>
    <w:rsid w:val="00825A08"/>
    <w:rsid w:val="00827FBA"/>
    <w:rsid w:val="0083761D"/>
    <w:rsid w:val="00856699"/>
    <w:rsid w:val="0086294F"/>
    <w:rsid w:val="00863258"/>
    <w:rsid w:val="008659F1"/>
    <w:rsid w:val="00867E0E"/>
    <w:rsid w:val="00870C65"/>
    <w:rsid w:val="00870C9D"/>
    <w:rsid w:val="008829B4"/>
    <w:rsid w:val="00885D27"/>
    <w:rsid w:val="0089200E"/>
    <w:rsid w:val="00892542"/>
    <w:rsid w:val="008961D7"/>
    <w:rsid w:val="008B2288"/>
    <w:rsid w:val="008B2882"/>
    <w:rsid w:val="008E52CA"/>
    <w:rsid w:val="008F38F8"/>
    <w:rsid w:val="00902BF3"/>
    <w:rsid w:val="00921F3B"/>
    <w:rsid w:val="00940653"/>
    <w:rsid w:val="009903FF"/>
    <w:rsid w:val="009A64A6"/>
    <w:rsid w:val="009B095B"/>
    <w:rsid w:val="009C2557"/>
    <w:rsid w:val="009C40AB"/>
    <w:rsid w:val="009D5C61"/>
    <w:rsid w:val="009E5375"/>
    <w:rsid w:val="00A17465"/>
    <w:rsid w:val="00A239BD"/>
    <w:rsid w:val="00A309EC"/>
    <w:rsid w:val="00A82B8B"/>
    <w:rsid w:val="00A86B72"/>
    <w:rsid w:val="00AB0FFB"/>
    <w:rsid w:val="00AB5476"/>
    <w:rsid w:val="00AB58DC"/>
    <w:rsid w:val="00AC022B"/>
    <w:rsid w:val="00AD2244"/>
    <w:rsid w:val="00AF1CAA"/>
    <w:rsid w:val="00B00BF6"/>
    <w:rsid w:val="00B31F97"/>
    <w:rsid w:val="00B73087"/>
    <w:rsid w:val="00B733F4"/>
    <w:rsid w:val="00B7492D"/>
    <w:rsid w:val="00B81227"/>
    <w:rsid w:val="00B81D79"/>
    <w:rsid w:val="00B9395D"/>
    <w:rsid w:val="00BA29B5"/>
    <w:rsid w:val="00BB3B92"/>
    <w:rsid w:val="00BC0118"/>
    <w:rsid w:val="00BC191E"/>
    <w:rsid w:val="00BE33C9"/>
    <w:rsid w:val="00BE58B3"/>
    <w:rsid w:val="00BE778C"/>
    <w:rsid w:val="00BF58C2"/>
    <w:rsid w:val="00C07417"/>
    <w:rsid w:val="00C33CEF"/>
    <w:rsid w:val="00C33EED"/>
    <w:rsid w:val="00C379DB"/>
    <w:rsid w:val="00C46883"/>
    <w:rsid w:val="00C650BF"/>
    <w:rsid w:val="00C66A91"/>
    <w:rsid w:val="00C73AEC"/>
    <w:rsid w:val="00C8250C"/>
    <w:rsid w:val="00CA1C01"/>
    <w:rsid w:val="00CD7787"/>
    <w:rsid w:val="00D04768"/>
    <w:rsid w:val="00D06A91"/>
    <w:rsid w:val="00D16161"/>
    <w:rsid w:val="00D22286"/>
    <w:rsid w:val="00D40337"/>
    <w:rsid w:val="00D63E4A"/>
    <w:rsid w:val="00D74B7F"/>
    <w:rsid w:val="00D80E76"/>
    <w:rsid w:val="00D82459"/>
    <w:rsid w:val="00D83910"/>
    <w:rsid w:val="00D934ED"/>
    <w:rsid w:val="00DD62E4"/>
    <w:rsid w:val="00DE49D4"/>
    <w:rsid w:val="00E07799"/>
    <w:rsid w:val="00E077F8"/>
    <w:rsid w:val="00E2213B"/>
    <w:rsid w:val="00E271A5"/>
    <w:rsid w:val="00E301AA"/>
    <w:rsid w:val="00E3029F"/>
    <w:rsid w:val="00E35415"/>
    <w:rsid w:val="00E555CA"/>
    <w:rsid w:val="00E652A4"/>
    <w:rsid w:val="00E66D71"/>
    <w:rsid w:val="00E87912"/>
    <w:rsid w:val="00E95A05"/>
    <w:rsid w:val="00EB42C4"/>
    <w:rsid w:val="00EB562F"/>
    <w:rsid w:val="00EB6F03"/>
    <w:rsid w:val="00EC606D"/>
    <w:rsid w:val="00ED3309"/>
    <w:rsid w:val="00ED48E5"/>
    <w:rsid w:val="00EE1779"/>
    <w:rsid w:val="00EF3979"/>
    <w:rsid w:val="00F030A8"/>
    <w:rsid w:val="00F10E75"/>
    <w:rsid w:val="00F1297F"/>
    <w:rsid w:val="00F156DB"/>
    <w:rsid w:val="00F270C3"/>
    <w:rsid w:val="00F35BEF"/>
    <w:rsid w:val="00F40242"/>
    <w:rsid w:val="00F47A5C"/>
    <w:rsid w:val="00F47E7B"/>
    <w:rsid w:val="00F52AB0"/>
    <w:rsid w:val="00F52C9D"/>
    <w:rsid w:val="00F5314D"/>
    <w:rsid w:val="00F559EC"/>
    <w:rsid w:val="00F67600"/>
    <w:rsid w:val="00F912B4"/>
    <w:rsid w:val="00F97084"/>
    <w:rsid w:val="00FB5466"/>
    <w:rsid w:val="00FB7613"/>
    <w:rsid w:val="00FC252B"/>
    <w:rsid w:val="00FC7018"/>
    <w:rsid w:val="00FF39D8"/>
    <w:rsid w:val="00FF643B"/>
    <w:rsid w:val="00FF6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13EC9"/>
  <w15:docId w15:val="{D94CC105-61C5-459C-912B-D8383921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4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9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C9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2C9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64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62F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500DD9"/>
    <w:rPr>
      <w:rFonts w:ascii="Segoe UI" w:hAnsi="Segoe UI" w:cs="Segoe UI" w:hint="default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7893"/>
  </w:style>
  <w:style w:type="paragraph" w:styleId="Footer">
    <w:name w:val="footer"/>
    <w:basedOn w:val="Normal"/>
    <w:link w:val="FooterChar"/>
    <w:uiPriority w:val="99"/>
    <w:semiHidden/>
    <w:unhideWhenUsed/>
    <w:rsid w:val="00547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7893"/>
  </w:style>
  <w:style w:type="table" w:styleId="TableGrid">
    <w:name w:val="Table Grid"/>
    <w:basedOn w:val="TableNormal"/>
    <w:uiPriority w:val="39"/>
    <w:rsid w:val="00EB4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0FEE-9BB8-4A1B-9514-BD765206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Gusak Galić</dc:creator>
  <cp:keywords/>
  <dc:description/>
  <cp:lastModifiedBy>Jelena Bigović</cp:lastModifiedBy>
  <cp:revision>4</cp:revision>
  <cp:lastPrinted>2021-12-22T06:38:00Z</cp:lastPrinted>
  <dcterms:created xsi:type="dcterms:W3CDTF">2024-12-27T10:17:00Z</dcterms:created>
  <dcterms:modified xsi:type="dcterms:W3CDTF">2024-12-30T13:40:00Z</dcterms:modified>
</cp:coreProperties>
</file>