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9149C0" w:rsidRPr="0050281E" w14:paraId="1EDDB76B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8839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sz w:val="24"/>
                <w:szCs w:val="24"/>
                <w:lang w:eastAsia="hr-HR"/>
              </w:rPr>
              <w:drawing>
                <wp:inline distT="0" distB="0" distL="0" distR="0" wp14:anchorId="5047DBCC" wp14:editId="6FC80882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9C0" w:rsidRPr="0050281E" w14:paraId="256B6F00" w14:textId="77777777" w:rsidTr="009149C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24D00" w14:textId="77777777" w:rsidR="009149C0" w:rsidRPr="0050281E" w:rsidRDefault="009149C0" w:rsidP="0050281E">
            <w:pPr>
              <w:tabs>
                <w:tab w:val="left" w:pos="4500"/>
              </w:tabs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REPUBLIKA HRVATSKA</w:t>
            </w:r>
          </w:p>
          <w:p w14:paraId="30E0DDA1" w14:textId="77777777" w:rsidR="009149C0" w:rsidRPr="0050281E" w:rsidRDefault="009149C0" w:rsidP="0050281E">
            <w:pPr>
              <w:keepNext/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ar-SA"/>
              </w:rPr>
              <w:t>PRIMORSKO-GORANSKA ŽUPANIJA</w:t>
            </w:r>
          </w:p>
          <w:p w14:paraId="3DA34128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OPĆINA OMIŠALJ</w:t>
            </w:r>
          </w:p>
          <w:p w14:paraId="3B0762F0" w14:textId="77777777" w:rsidR="009149C0" w:rsidRPr="0050281E" w:rsidRDefault="009149C0" w:rsidP="0050281E">
            <w:pPr>
              <w:spacing w:after="0" w:line="240" w:lineRule="auto"/>
              <w:ind w:right="72"/>
              <w:jc w:val="center"/>
              <w:rPr>
                <w:rFonts w:ascii="Garamond" w:eastAsia="PMingLiU" w:hAnsi="Garamond" w:cs="Times New Roman"/>
                <w:noProof w:val="0"/>
                <w:sz w:val="24"/>
                <w:szCs w:val="24"/>
                <w:lang w:eastAsia="zh-TW"/>
              </w:rPr>
            </w:pPr>
            <w:r w:rsidRPr="0050281E">
              <w:rPr>
                <w:rFonts w:ascii="Garamond" w:eastAsia="PMingLiU" w:hAnsi="Garamond" w:cs="Times New Roman"/>
                <w:b/>
                <w:noProof w:val="0"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258E165D" w14:textId="77777777" w:rsidR="009149C0" w:rsidRPr="0050281E" w:rsidRDefault="009149C0" w:rsidP="0050281E">
      <w:pPr>
        <w:spacing w:after="0" w:line="240" w:lineRule="auto"/>
        <w:ind w:left="4956" w:firstLine="720"/>
        <w:jc w:val="center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</w:p>
    <w:p w14:paraId="6A09B754" w14:textId="77777777" w:rsidR="006D732D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KLASA: </w:t>
      </w:r>
      <w:r w:rsidR="006D732D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024-01/24-01/142</w:t>
      </w:r>
    </w:p>
    <w:p w14:paraId="3675657C" w14:textId="33BBF0D0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URBROJ: 2170-30-2</w:t>
      </w:r>
      <w:r w:rsidR="006D732D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4</w:t>
      </w: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-1</w:t>
      </w:r>
    </w:p>
    <w:p w14:paraId="50C316F8" w14:textId="4068DBF5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Omišalj, </w:t>
      </w:r>
      <w:r w:rsidR="006D732D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3</w:t>
      </w:r>
      <w:r w:rsidR="00383EB4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. </w:t>
      </w:r>
      <w:r w:rsidR="006D732D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>prosinca</w:t>
      </w:r>
      <w:r w:rsidR="00383EB4" w:rsidRPr="0050281E">
        <w:rPr>
          <w:rFonts w:ascii="Garamond" w:eastAsia="PMingLiU" w:hAnsi="Garamond" w:cs="Times New Roman"/>
          <w:noProof w:val="0"/>
          <w:sz w:val="24"/>
          <w:szCs w:val="24"/>
          <w:lang w:eastAsia="zh-TW"/>
        </w:rPr>
        <w:t xml:space="preserve"> 2024.</w:t>
      </w:r>
    </w:p>
    <w:p w14:paraId="67550886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434F41E" w14:textId="77777777" w:rsidR="009149C0" w:rsidRPr="0050281E" w:rsidRDefault="009149C0" w:rsidP="0050281E">
      <w:pPr>
        <w:spacing w:after="0" w:line="240" w:lineRule="auto"/>
        <w:rPr>
          <w:rFonts w:ascii="Garamond" w:eastAsia="PMingLiU" w:hAnsi="Garamond" w:cs="Times New Roman"/>
          <w:noProof w:val="0"/>
          <w:sz w:val="24"/>
          <w:szCs w:val="24"/>
          <w:lang w:eastAsia="zh-TW"/>
        </w:rPr>
      </w:pPr>
    </w:p>
    <w:p w14:paraId="43989FEF" w14:textId="77777777" w:rsidR="006D732D" w:rsidRPr="0050281E" w:rsidRDefault="009149C0" w:rsidP="0050281E">
      <w:pPr>
        <w:spacing w:after="0" w:line="240" w:lineRule="auto"/>
        <w:jc w:val="both"/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</w:pPr>
      <w:r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PREDMET: </w:t>
      </w:r>
      <w:r w:rsidR="00414A0A"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Savjetovanje sa zainteresiranom javnošću o Nacrtu </w:t>
      </w:r>
      <w:r w:rsidR="007B16BA"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 xml:space="preserve">odluke o </w:t>
      </w:r>
      <w:r w:rsidR="006D732D" w:rsidRPr="0050281E">
        <w:rPr>
          <w:rFonts w:ascii="Garamond" w:eastAsia="PMingLiU" w:hAnsi="Garamond" w:cs="Times New Roman"/>
          <w:b/>
          <w:noProof w:val="0"/>
          <w:sz w:val="24"/>
          <w:szCs w:val="24"/>
          <w:lang w:eastAsia="zh-TW"/>
        </w:rPr>
        <w:t>ostvarivanju prava na prigodni poklon za blagdane u 2025. godini</w:t>
      </w:r>
    </w:p>
    <w:p w14:paraId="152C144B" w14:textId="77777777" w:rsidR="009149C0" w:rsidRPr="0050281E" w:rsidRDefault="009149C0" w:rsidP="0050281E">
      <w:pPr>
        <w:spacing w:after="0" w:line="240" w:lineRule="auto"/>
        <w:jc w:val="both"/>
        <w:rPr>
          <w:rFonts w:ascii="Garamond" w:eastAsia="Calibri" w:hAnsi="Garamond" w:cs="Times New Roman"/>
          <w:noProof w:val="0"/>
          <w:sz w:val="24"/>
          <w:szCs w:val="24"/>
          <w:u w:val="single"/>
        </w:rPr>
      </w:pPr>
    </w:p>
    <w:p w14:paraId="25B5A574" w14:textId="18121CDC" w:rsidR="006D732D" w:rsidRPr="0050281E" w:rsidRDefault="009149C0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  <w:r w:rsidRPr="0050281E">
        <w:rPr>
          <w:rFonts w:ascii="Garamond" w:eastAsia="Calibri" w:hAnsi="Garamond" w:cs="Times New Roman"/>
          <w:noProof w:val="0"/>
          <w:sz w:val="24"/>
          <w:szCs w:val="24"/>
        </w:rPr>
        <w:tab/>
      </w:r>
      <w:r w:rsidR="006D732D" w:rsidRPr="0050281E"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  <w:t xml:space="preserve">Općina Omišalj već dugi niz godina u povodu blagdana Božića i Uskrsa daruje starije od 80 godina, teško bolesne i korisnike doma za starije u vidu poklon bona, bez obzira ostvaruje li korisnik ili ne pravo na pomoć prema Odluci o socijalnoj skrbi („Službene novine Primorsko-goranske županije“ broj 34/24). </w:t>
      </w:r>
    </w:p>
    <w:p w14:paraId="13752CF9" w14:textId="44990784" w:rsidR="007B16BA" w:rsidRPr="0050281E" w:rsidRDefault="007B16BA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noProof w:val="0"/>
          <w:kern w:val="2"/>
          <w:sz w:val="24"/>
          <w:szCs w:val="24"/>
          <w:lang w:eastAsia="hr-HR"/>
          <w14:ligatures w14:val="standardContextual"/>
        </w:rPr>
      </w:pPr>
    </w:p>
    <w:p w14:paraId="56F124E4" w14:textId="114B1691" w:rsidR="008B1F10" w:rsidRPr="0050281E" w:rsidRDefault="009149C0" w:rsidP="0050281E">
      <w:pPr>
        <w:tabs>
          <w:tab w:val="left" w:pos="54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50281E">
        <w:rPr>
          <w:rFonts w:ascii="Garamond" w:eastAsia="Times New Roman" w:hAnsi="Garamond" w:cs="Times New Roman"/>
          <w:sz w:val="24"/>
          <w:szCs w:val="24"/>
        </w:rPr>
        <w:tab/>
      </w:r>
      <w:r w:rsidR="008B1F10" w:rsidRPr="0050281E">
        <w:rPr>
          <w:rFonts w:ascii="Garamond" w:eastAsia="Times New Roman" w:hAnsi="Garamond" w:cs="Times New Roman"/>
          <w:sz w:val="24"/>
          <w:szCs w:val="24"/>
        </w:rPr>
        <w:t>Temeljem članka 11. Zakona o pravu na pristup informacijama („Narodne novine“ broj 25/13, 85/15 i 69/22) jedinice lokalne samouprave dužne su provoditi savjetovanje s javnošću pri donošenju općih akata odnosno drugih strateških ili planskih dokumenata kad se njima utječe na interes građana i pravnih osoba. Na taj se način želi upoznati javnost s predloženim Nacrtom odluke i pribaviti mišljenja, primjedbe i prijedloge zainteresirane javnosti, kako bi predloženo, ukoliko je zakonito i stručno utemeljeno, bilo prihvaćeno od strane donositelja odluke i u konačnosti ugrađeno u odredbe odluke.</w:t>
      </w:r>
    </w:p>
    <w:p w14:paraId="7C213510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20FD98C8" w14:textId="623D1143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Svoje prijedloge vezane uz Nacrt odluke možete podnijeti putem Obrasca za savjetovanje dostupnog na ovoj stranici. Popunjen obrazac šalje se putem e-maila na adresu: </w:t>
      </w:r>
      <w:hyperlink r:id="rId7" w:history="1">
        <w:r w:rsidRPr="0050281E">
          <w:rPr>
            <w:rStyle w:val="Hyperlink"/>
            <w:rFonts w:ascii="Garamond" w:eastAsia="PMingLiU" w:hAnsi="Garamond" w:cs="Times New Roman"/>
            <w:b/>
            <w:bCs/>
            <w:noProof w:val="0"/>
            <w:sz w:val="24"/>
            <w:szCs w:val="24"/>
            <w:lang w:eastAsia="zh-TW"/>
          </w:rPr>
          <w:t>nina.kovac@omisalj.hr</w:t>
        </w:r>
      </w:hyperlink>
      <w:r w:rsidRPr="0050281E">
        <w:rPr>
          <w:rFonts w:ascii="Garamond" w:eastAsia="PMingLiU" w:hAnsi="Garamond" w:cs="Times New Roman"/>
          <w:b/>
          <w:bCs/>
          <w:noProof w:val="0"/>
          <w:sz w:val="24"/>
          <w:szCs w:val="24"/>
          <w:lang w:eastAsia="zh-TW"/>
        </w:rPr>
        <w:t xml:space="preserve">. </w:t>
      </w:r>
    </w:p>
    <w:p w14:paraId="3BDAEEC6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5906EBA8" w14:textId="54ECF9E5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 xml:space="preserve">Savjetovanje o nacrtu Prijedloga odluke otvoreno je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do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</w:t>
      </w:r>
      <w:r w:rsidR="0050281E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1</w:t>
      </w:r>
      <w:r w:rsidR="005B1440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6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. </w:t>
      </w:r>
      <w:r w:rsidR="0050281E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prosinca</w:t>
      </w:r>
      <w:r w:rsidR="00383EB4"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 xml:space="preserve"> 2024.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  <w:u w:val="single"/>
        </w:rPr>
        <w:t>godine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>.</w:t>
      </w:r>
    </w:p>
    <w:p w14:paraId="798B820A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7808BD0E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noProof w:val="0"/>
          <w:sz w:val="24"/>
          <w:szCs w:val="24"/>
        </w:rPr>
      </w:pPr>
      <w:r w:rsidRPr="0050281E"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  <w:tab/>
      </w:r>
      <w:r w:rsidRPr="0050281E">
        <w:rPr>
          <w:rFonts w:ascii="Garamond" w:eastAsia="Calibri" w:hAnsi="Garamond" w:cs="Times New Roman"/>
          <w:noProof w:val="0"/>
          <w:sz w:val="24"/>
          <w:szCs w:val="24"/>
        </w:rPr>
        <w:t>Po završetku Savjetovanja svi pristigli prijedlozi bit će pregledani i razmotreni, sastavit će se Izvješće o prihvaćenim i neprihvaćenim prijedlozima, kao i razlozima neprihvaćanja, i to Izvješće bit će objavljeno na ovoj stranici.</w:t>
      </w:r>
    </w:p>
    <w:p w14:paraId="0249B302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6064FD03" w14:textId="77777777" w:rsidR="008B1F10" w:rsidRPr="0050281E" w:rsidRDefault="008B1F10" w:rsidP="0050281E">
      <w:pPr>
        <w:tabs>
          <w:tab w:val="left" w:pos="540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noProof w:val="0"/>
          <w:sz w:val="24"/>
          <w:szCs w:val="24"/>
          <w:lang w:eastAsia="hr-HR"/>
        </w:rPr>
      </w:pPr>
    </w:p>
    <w:p w14:paraId="1D4B3928" w14:textId="2C3006F6" w:rsidR="008B1F10" w:rsidRPr="0050281E" w:rsidRDefault="008B1F10" w:rsidP="0050281E">
      <w:pPr>
        <w:suppressAutoHyphens/>
        <w:spacing w:after="0" w:line="240" w:lineRule="auto"/>
        <w:ind w:left="4956" w:firstLine="708"/>
        <w:jc w:val="right"/>
        <w:rPr>
          <w:rFonts w:ascii="Garamond" w:eastAsia="Calibri" w:hAnsi="Garamond" w:cs="Times New Roman"/>
          <w:noProof w:val="0"/>
          <w:sz w:val="24"/>
          <w:szCs w:val="24"/>
        </w:rPr>
      </w:pPr>
      <w:r w:rsidRPr="0050281E">
        <w:rPr>
          <w:rFonts w:ascii="Garamond" w:eastAsia="Calibri" w:hAnsi="Garamond" w:cs="Times New Roman"/>
          <w:noProof w:val="0"/>
          <w:sz w:val="24"/>
          <w:szCs w:val="24"/>
        </w:rPr>
        <w:t>Općina Omišalj</w:t>
      </w:r>
    </w:p>
    <w:p w14:paraId="27E388BC" w14:textId="4987D459" w:rsidR="009149C0" w:rsidRPr="0050281E" w:rsidRDefault="008B1F10" w:rsidP="0050281E">
      <w:pPr>
        <w:spacing w:after="0" w:line="240" w:lineRule="auto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br w:type="page"/>
      </w:r>
    </w:p>
    <w:p w14:paraId="0284AFB9" w14:textId="17C67B00" w:rsidR="008B1F10" w:rsidRPr="0050281E" w:rsidRDefault="008B1F10" w:rsidP="0050281E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  <w:r w:rsidRPr="0050281E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lastRenderedPageBreak/>
        <w:t xml:space="preserve">- </w:t>
      </w:r>
      <w:r w:rsidR="00414A0A" w:rsidRPr="0050281E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>nacrt</w:t>
      </w:r>
      <w:r w:rsidRPr="0050281E"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  <w:t xml:space="preserve"> -</w:t>
      </w:r>
    </w:p>
    <w:p w14:paraId="4C329A20" w14:textId="77777777" w:rsidR="008B1F10" w:rsidRPr="0050281E" w:rsidRDefault="008B1F10" w:rsidP="0050281E">
      <w:pPr>
        <w:spacing w:after="0" w:line="240" w:lineRule="auto"/>
        <w:jc w:val="right"/>
        <w:rPr>
          <w:rFonts w:ascii="Garamond" w:eastAsia="Times New Roman" w:hAnsi="Garamond" w:cs="Times New Roman"/>
          <w:b/>
          <w:i/>
          <w:noProof w:val="0"/>
          <w:sz w:val="24"/>
          <w:szCs w:val="24"/>
          <w:lang w:eastAsia="hr-HR"/>
        </w:rPr>
      </w:pPr>
    </w:p>
    <w:p w14:paraId="0AE67F7C" w14:textId="72293448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Na temelju članka 35.  Zakona o lokalnoj i područnoj (regionalnoj) samoupravi („Narodne novine“ broj 33/01, 60/01, 129/05, 109/07, 36/09, 125/08, 36/09, 150/11, 19/13 - službeni pročišćeni tekst, 144/12, 137/15 - službeni pročišćeni tekst, 123/17, 98/19 i 144/20) i članka 33. Statuta Općine Omišalj („Službene novine Primorsko-goranske županije“ broj 5/21), Općinsko vijeće Općine Omišalj na __. sjednici održanoj _________ 2024. godine, donijelo je</w:t>
      </w:r>
    </w:p>
    <w:p w14:paraId="47B579D5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180FCCA7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 xml:space="preserve">ODLUKU </w:t>
      </w:r>
    </w:p>
    <w:p w14:paraId="312AE834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o ostvarivanju prava na prigodni poklon za blagdane u 2025. godini</w:t>
      </w:r>
    </w:p>
    <w:p w14:paraId="561ADBF2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</w:p>
    <w:p w14:paraId="5F74B093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1.</w:t>
      </w:r>
    </w:p>
    <w:p w14:paraId="1AA6D331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(1) Ovom Odlukom o ostvarivanju prava na prigodni poklon za blagdane u 2025. godini (dalje u tekstu: Odluka) utvrđuje se pravo na prigodni poklon u povodu blagdana, propisuju se korisnici te postupak za ostvarivanje tog prava.</w:t>
      </w:r>
    </w:p>
    <w:p w14:paraId="0D00C5D6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 xml:space="preserve">(2) Riječi i pojmovi koji se koriste u ovoj Odluci, a koji imaju rodno značenje, odnose se jednako na muški i ženski rod bez obzira u kojem su rodu navedeni. </w:t>
      </w:r>
    </w:p>
    <w:p w14:paraId="71B25DB5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62C1E715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2.</w:t>
      </w:r>
    </w:p>
    <w:p w14:paraId="43CAF40F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Pravo na prigodni poklon ostvaruje se povodom blagdana Božića i Uskrsa u 2025. godini u obliku novčanog bona u prodavaonici s kojom Općina Omišalj (dalje u tekstu: Općina) ima zaključen ugovor u iznosu od 56,00 eura.</w:t>
      </w:r>
    </w:p>
    <w:p w14:paraId="5C01BEB6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</w:p>
    <w:p w14:paraId="49FE2F19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3.</w:t>
      </w:r>
    </w:p>
    <w:p w14:paraId="3761A9E6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Pravo na prigodni poklon iz članka 2. ove Odluke mogu ostvariti sljedeći korisnici s prebivalištem na području općine Omišalj:</w:t>
      </w:r>
    </w:p>
    <w:p w14:paraId="38BFB1E6" w14:textId="31C7A18C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- stariji od 80 godina,</w:t>
      </w:r>
    </w:p>
    <w:p w14:paraId="2D189A20" w14:textId="528D4735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 xml:space="preserve">- teško bolesni </w:t>
      </w:r>
      <w:r w:rsidRPr="0050281E">
        <w:rPr>
          <w:rFonts w:ascii="Garamond" w:eastAsia="Times New Roman" w:hAnsi="Garamond" w:cs="Arial"/>
          <w:noProof w:val="0"/>
          <w:sz w:val="24"/>
          <w:szCs w:val="24"/>
          <w:lang w:eastAsia="hr-HR"/>
        </w:rPr>
        <w:t>(boluje od maligne ili kronične bolesti),</w:t>
      </w:r>
    </w:p>
    <w:p w14:paraId="23DD81BD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- korisnici doma za starije.</w:t>
      </w:r>
    </w:p>
    <w:p w14:paraId="03C6E769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</w:p>
    <w:p w14:paraId="00A86005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4.</w:t>
      </w:r>
    </w:p>
    <w:p w14:paraId="56784E1F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(1) U svrhu utvrđivanja prava na prigodni poklon, Općina će raspisati Javni poziv u kojem će biti navedeni uvjeti i rok za predaju potrebne dokumentacije.</w:t>
      </w:r>
    </w:p>
    <w:p w14:paraId="6059DED7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(2) Pravo na prigodni poklon ostvaruje se, u pravilu, podnošenjem zahtjeva po objavljenom javnom pozivu, zajedno s potrebnom dokumentacijom.</w:t>
      </w:r>
    </w:p>
    <w:p w14:paraId="72C6D2C4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(3) Za teško bolesne i za korisnike doma za starije Općina može službenim putem zatražiti potvrdu nadležne ustanove o korisnicima.</w:t>
      </w:r>
    </w:p>
    <w:p w14:paraId="5090A249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</w:p>
    <w:p w14:paraId="57AEB8BD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5.</w:t>
      </w:r>
    </w:p>
    <w:p w14:paraId="64F20BEA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Korisnike koji ostvaruju pravo na prigodni poklon utvrđuje zaključkom Načelnik.</w:t>
      </w:r>
    </w:p>
    <w:p w14:paraId="34C0075F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</w:p>
    <w:p w14:paraId="45E7888D" w14:textId="77777777" w:rsidR="0050281E" w:rsidRPr="0050281E" w:rsidRDefault="0050281E" w:rsidP="0050281E">
      <w:pPr>
        <w:spacing w:after="0" w:line="240" w:lineRule="auto"/>
        <w:jc w:val="center"/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b/>
          <w:noProof w:val="0"/>
          <w:sz w:val="24"/>
          <w:szCs w:val="24"/>
          <w:lang w:eastAsia="zh-CN"/>
        </w:rPr>
        <w:t>Članak 6.</w:t>
      </w:r>
    </w:p>
    <w:p w14:paraId="5E6E562C" w14:textId="74ED74D1" w:rsidR="0050281E" w:rsidRPr="0050281E" w:rsidRDefault="0050281E" w:rsidP="0050281E">
      <w:pPr>
        <w:spacing w:after="0" w:line="240" w:lineRule="auto"/>
        <w:jc w:val="both"/>
        <w:rPr>
          <w:rFonts w:ascii="Garamond" w:eastAsia="SimSun" w:hAnsi="Garamond" w:cs="Arial"/>
          <w:noProof w:val="0"/>
          <w:sz w:val="24"/>
          <w:szCs w:val="24"/>
          <w:lang w:eastAsia="zh-CN"/>
        </w:rPr>
      </w:pPr>
      <w:r w:rsidRPr="0050281E">
        <w:rPr>
          <w:rFonts w:ascii="Garamond" w:eastAsia="SimSun" w:hAnsi="Garamond" w:cs="Arial"/>
          <w:noProof w:val="0"/>
          <w:sz w:val="24"/>
          <w:szCs w:val="24"/>
          <w:lang w:eastAsia="zh-CN"/>
        </w:rPr>
        <w:t>Ova Odluka stupa na snagu 1. siječnja 2025. godine, a objavit će se u „Službenim novinama Primorsko-goranske županije“.</w:t>
      </w:r>
    </w:p>
    <w:p w14:paraId="49ECC4BA" w14:textId="77777777" w:rsidR="0050281E" w:rsidRPr="0050281E" w:rsidRDefault="0050281E" w:rsidP="0050281E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1B43FF3F" w14:textId="77777777" w:rsidR="0050281E" w:rsidRPr="0050281E" w:rsidRDefault="0050281E" w:rsidP="0050281E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33AB8CEE" w14:textId="77777777" w:rsidR="0050281E" w:rsidRPr="0050281E" w:rsidRDefault="0050281E" w:rsidP="0050281E">
      <w:pPr>
        <w:pStyle w:val="NormalWeb"/>
        <w:shd w:val="clear" w:color="auto" w:fill="FFFFFF"/>
        <w:spacing w:before="0" w:after="0"/>
        <w:jc w:val="both"/>
        <w:rPr>
          <w:rFonts w:ascii="Garamond" w:hAnsi="Garamond"/>
          <w:b/>
          <w:color w:val="000000"/>
        </w:rPr>
      </w:pPr>
    </w:p>
    <w:p w14:paraId="1AA3C80A" w14:textId="77777777" w:rsidR="0050281E" w:rsidRPr="0050281E" w:rsidRDefault="0050281E" w:rsidP="0050281E">
      <w:pPr>
        <w:spacing w:after="0" w:line="240" w:lineRule="auto"/>
        <w:ind w:left="3545" w:firstLine="709"/>
        <w:jc w:val="center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>OPĆINSKO VIJEĆE OPĆINE OMIŠALJ</w:t>
      </w:r>
    </w:p>
    <w:p w14:paraId="183DEB4C" w14:textId="77777777" w:rsidR="0050281E" w:rsidRPr="0050281E" w:rsidRDefault="0050281E" w:rsidP="0050281E">
      <w:pPr>
        <w:spacing w:after="0" w:line="240" w:lineRule="auto"/>
        <w:jc w:val="both"/>
        <w:rPr>
          <w:rFonts w:ascii="Garamond" w:eastAsia="Calibri" w:hAnsi="Garamond" w:cs="Times New Roman"/>
          <w:b/>
          <w:noProof w:val="0"/>
          <w:sz w:val="24"/>
          <w:szCs w:val="24"/>
        </w:rPr>
      </w:pP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         </w:t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  Predsjednica</w:t>
      </w:r>
    </w:p>
    <w:p w14:paraId="1A7876E9" w14:textId="77777777" w:rsidR="0050281E" w:rsidRPr="0050281E" w:rsidRDefault="0050281E" w:rsidP="0050281E">
      <w:pPr>
        <w:spacing w:after="0" w:line="240" w:lineRule="auto"/>
        <w:rPr>
          <w:rFonts w:ascii="Garamond" w:hAnsi="Garamond"/>
          <w:sz w:val="24"/>
          <w:szCs w:val="24"/>
        </w:rPr>
      </w:pP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</w:r>
      <w:r w:rsidRPr="0050281E">
        <w:rPr>
          <w:rFonts w:ascii="Garamond" w:eastAsia="Calibri" w:hAnsi="Garamond" w:cs="Times New Roman"/>
          <w:b/>
          <w:noProof w:val="0"/>
          <w:sz w:val="24"/>
          <w:szCs w:val="24"/>
        </w:rPr>
        <w:tab/>
        <w:t xml:space="preserve">   Dunja Mihelec</w:t>
      </w:r>
    </w:p>
    <w:p w14:paraId="27A111BE" w14:textId="17D55F09" w:rsidR="00FA136F" w:rsidRPr="0050281E" w:rsidRDefault="00FA136F" w:rsidP="0050281E">
      <w:pPr>
        <w:tabs>
          <w:tab w:val="left" w:pos="567"/>
        </w:tabs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/>
          <w:sz w:val="24"/>
          <w:szCs w:val="24"/>
        </w:rPr>
      </w:pPr>
    </w:p>
    <w:sectPr w:rsidR="00FA136F" w:rsidRPr="00502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59D9"/>
    <w:multiLevelType w:val="hybridMultilevel"/>
    <w:tmpl w:val="3A6243A8"/>
    <w:lvl w:ilvl="0" w:tplc="014C2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2E38"/>
    <w:multiLevelType w:val="multilevel"/>
    <w:tmpl w:val="88BC38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2A389D"/>
    <w:multiLevelType w:val="multilevel"/>
    <w:tmpl w:val="4AD2B9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9A7B9A"/>
    <w:multiLevelType w:val="hybridMultilevel"/>
    <w:tmpl w:val="42341D60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15DA1"/>
    <w:multiLevelType w:val="hybridMultilevel"/>
    <w:tmpl w:val="0584F10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701"/>
    <w:multiLevelType w:val="hybridMultilevel"/>
    <w:tmpl w:val="86C2250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15257"/>
    <w:multiLevelType w:val="hybridMultilevel"/>
    <w:tmpl w:val="886C1C72"/>
    <w:lvl w:ilvl="0" w:tplc="CD20BC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061B0"/>
    <w:multiLevelType w:val="hybridMultilevel"/>
    <w:tmpl w:val="D6BEF7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35334"/>
    <w:multiLevelType w:val="hybridMultilevel"/>
    <w:tmpl w:val="395A7B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67EDE"/>
    <w:multiLevelType w:val="hybridMultilevel"/>
    <w:tmpl w:val="38B2977C"/>
    <w:lvl w:ilvl="0" w:tplc="5AD29F4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632C1"/>
    <w:multiLevelType w:val="hybridMultilevel"/>
    <w:tmpl w:val="63C88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7288"/>
    <w:multiLevelType w:val="hybridMultilevel"/>
    <w:tmpl w:val="54C22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18EA"/>
    <w:multiLevelType w:val="hybridMultilevel"/>
    <w:tmpl w:val="FD265984"/>
    <w:lvl w:ilvl="0" w:tplc="041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 w15:restartNumberingAfterBreak="0">
    <w:nsid w:val="2C993634"/>
    <w:multiLevelType w:val="hybridMultilevel"/>
    <w:tmpl w:val="C5EEB1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AB52FD"/>
    <w:multiLevelType w:val="multilevel"/>
    <w:tmpl w:val="EA86C5C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CD767C"/>
    <w:multiLevelType w:val="hybridMultilevel"/>
    <w:tmpl w:val="D8000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62189"/>
    <w:multiLevelType w:val="multilevel"/>
    <w:tmpl w:val="FD74EB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253FF4"/>
    <w:multiLevelType w:val="multilevel"/>
    <w:tmpl w:val="7E5626E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41E1DB1"/>
    <w:multiLevelType w:val="hybridMultilevel"/>
    <w:tmpl w:val="42ECEA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97C6B"/>
    <w:multiLevelType w:val="hybridMultilevel"/>
    <w:tmpl w:val="08DC1C68"/>
    <w:lvl w:ilvl="0" w:tplc="48463500">
      <w:start w:val="1"/>
      <w:numFmt w:val="decimal"/>
      <w:lvlText w:val="%1."/>
      <w:lvlJc w:val="left"/>
      <w:pPr>
        <w:ind w:left="71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7205C"/>
    <w:multiLevelType w:val="multilevel"/>
    <w:tmpl w:val="31D40E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C31CD"/>
    <w:multiLevelType w:val="hybridMultilevel"/>
    <w:tmpl w:val="A6905C0A"/>
    <w:lvl w:ilvl="0" w:tplc="441420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051CBF"/>
    <w:multiLevelType w:val="hybridMultilevel"/>
    <w:tmpl w:val="00E24930"/>
    <w:lvl w:ilvl="0" w:tplc="D2CC608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F7B36"/>
    <w:multiLevelType w:val="hybridMultilevel"/>
    <w:tmpl w:val="27EE307C"/>
    <w:lvl w:ilvl="0" w:tplc="DD5E130C">
      <w:start w:val="1"/>
      <w:numFmt w:val="decimal"/>
      <w:lvlText w:val="%1."/>
      <w:lvlJc w:val="left"/>
      <w:pPr>
        <w:ind w:left="768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208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928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48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68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88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808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528" w:hanging="180"/>
      </w:pPr>
      <w:rPr>
        <w:rFonts w:cs="Times New Roman"/>
      </w:rPr>
    </w:lvl>
  </w:abstractNum>
  <w:abstractNum w:abstractNumId="24" w15:restartNumberingAfterBreak="0">
    <w:nsid w:val="6E7B2A7C"/>
    <w:multiLevelType w:val="multilevel"/>
    <w:tmpl w:val="0284F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D0014"/>
    <w:multiLevelType w:val="hybridMultilevel"/>
    <w:tmpl w:val="520865E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0F0DF7"/>
    <w:multiLevelType w:val="hybridMultilevel"/>
    <w:tmpl w:val="57109842"/>
    <w:lvl w:ilvl="0" w:tplc="CAE2D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2389">
    <w:abstractNumId w:val="0"/>
  </w:num>
  <w:num w:numId="2" w16cid:durableId="872037409">
    <w:abstractNumId w:val="24"/>
  </w:num>
  <w:num w:numId="3" w16cid:durableId="1633904402">
    <w:abstractNumId w:val="5"/>
  </w:num>
  <w:num w:numId="4" w16cid:durableId="780687137">
    <w:abstractNumId w:val="19"/>
  </w:num>
  <w:num w:numId="5" w16cid:durableId="1262255550">
    <w:abstractNumId w:val="2"/>
  </w:num>
  <w:num w:numId="6" w16cid:durableId="491063498">
    <w:abstractNumId w:val="1"/>
  </w:num>
  <w:num w:numId="7" w16cid:durableId="1617370686">
    <w:abstractNumId w:val="14"/>
  </w:num>
  <w:num w:numId="8" w16cid:durableId="210389651">
    <w:abstractNumId w:val="20"/>
  </w:num>
  <w:num w:numId="9" w16cid:durableId="1618751245">
    <w:abstractNumId w:val="16"/>
  </w:num>
  <w:num w:numId="10" w16cid:durableId="14625750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37877139">
    <w:abstractNumId w:val="12"/>
  </w:num>
  <w:num w:numId="12" w16cid:durableId="20722659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25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18299105">
    <w:abstractNumId w:val="26"/>
  </w:num>
  <w:num w:numId="15" w16cid:durableId="1750300555">
    <w:abstractNumId w:val="10"/>
  </w:num>
  <w:num w:numId="16" w16cid:durableId="1404572078">
    <w:abstractNumId w:val="8"/>
  </w:num>
  <w:num w:numId="17" w16cid:durableId="211694015">
    <w:abstractNumId w:val="6"/>
  </w:num>
  <w:num w:numId="18" w16cid:durableId="435558074">
    <w:abstractNumId w:val="4"/>
  </w:num>
  <w:num w:numId="19" w16cid:durableId="630601267">
    <w:abstractNumId w:val="15"/>
  </w:num>
  <w:num w:numId="20" w16cid:durableId="1072241227">
    <w:abstractNumId w:val="11"/>
  </w:num>
  <w:num w:numId="21" w16cid:durableId="2029485350">
    <w:abstractNumId w:val="7"/>
  </w:num>
  <w:num w:numId="22" w16cid:durableId="815881154">
    <w:abstractNumId w:val="22"/>
  </w:num>
  <w:num w:numId="23" w16cid:durableId="1995335046">
    <w:abstractNumId w:val="18"/>
  </w:num>
  <w:num w:numId="24" w16cid:durableId="687831180">
    <w:abstractNumId w:val="13"/>
  </w:num>
  <w:num w:numId="25" w16cid:durableId="1461613015">
    <w:abstractNumId w:val="17"/>
  </w:num>
  <w:num w:numId="26" w16cid:durableId="1180660197">
    <w:abstractNumId w:val="9"/>
  </w:num>
  <w:num w:numId="27" w16cid:durableId="1675650834">
    <w:abstractNumId w:val="21"/>
  </w:num>
  <w:num w:numId="28" w16cid:durableId="183999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43"/>
    <w:rsid w:val="0007139F"/>
    <w:rsid w:val="000D0795"/>
    <w:rsid w:val="000D33B1"/>
    <w:rsid w:val="000E2349"/>
    <w:rsid w:val="00143747"/>
    <w:rsid w:val="0015723A"/>
    <w:rsid w:val="0017406B"/>
    <w:rsid w:val="00180B0F"/>
    <w:rsid w:val="00201B9F"/>
    <w:rsid w:val="00236A2A"/>
    <w:rsid w:val="00303A03"/>
    <w:rsid w:val="0031704F"/>
    <w:rsid w:val="00331BDA"/>
    <w:rsid w:val="00344F5D"/>
    <w:rsid w:val="0034764A"/>
    <w:rsid w:val="00377437"/>
    <w:rsid w:val="00383978"/>
    <w:rsid w:val="00383EB4"/>
    <w:rsid w:val="003931D2"/>
    <w:rsid w:val="003C3B70"/>
    <w:rsid w:val="003F5DEF"/>
    <w:rsid w:val="003F68EC"/>
    <w:rsid w:val="00414A0A"/>
    <w:rsid w:val="004156D6"/>
    <w:rsid w:val="00422120"/>
    <w:rsid w:val="0042393F"/>
    <w:rsid w:val="004265E9"/>
    <w:rsid w:val="0046581D"/>
    <w:rsid w:val="00484759"/>
    <w:rsid w:val="00492DB2"/>
    <w:rsid w:val="004D582B"/>
    <w:rsid w:val="0050281E"/>
    <w:rsid w:val="005319F5"/>
    <w:rsid w:val="005B1440"/>
    <w:rsid w:val="005C4315"/>
    <w:rsid w:val="005F180B"/>
    <w:rsid w:val="0060654F"/>
    <w:rsid w:val="00620BB4"/>
    <w:rsid w:val="006303E7"/>
    <w:rsid w:val="00651D43"/>
    <w:rsid w:val="00654BAD"/>
    <w:rsid w:val="00673188"/>
    <w:rsid w:val="00674CB8"/>
    <w:rsid w:val="006D732D"/>
    <w:rsid w:val="006E5D46"/>
    <w:rsid w:val="00701912"/>
    <w:rsid w:val="00715256"/>
    <w:rsid w:val="00734F81"/>
    <w:rsid w:val="007514BB"/>
    <w:rsid w:val="007552CF"/>
    <w:rsid w:val="007B16BA"/>
    <w:rsid w:val="007B3EBD"/>
    <w:rsid w:val="007C4E54"/>
    <w:rsid w:val="007E2210"/>
    <w:rsid w:val="00887A93"/>
    <w:rsid w:val="008B1F10"/>
    <w:rsid w:val="008E3D45"/>
    <w:rsid w:val="008E5A43"/>
    <w:rsid w:val="009149C0"/>
    <w:rsid w:val="00926020"/>
    <w:rsid w:val="0092710D"/>
    <w:rsid w:val="00937CBA"/>
    <w:rsid w:val="00940366"/>
    <w:rsid w:val="00A06333"/>
    <w:rsid w:val="00AC1494"/>
    <w:rsid w:val="00AD5DC2"/>
    <w:rsid w:val="00AE02C6"/>
    <w:rsid w:val="00B04575"/>
    <w:rsid w:val="00B268A2"/>
    <w:rsid w:val="00B32FCE"/>
    <w:rsid w:val="00B5474B"/>
    <w:rsid w:val="00B77943"/>
    <w:rsid w:val="00B86247"/>
    <w:rsid w:val="00C97697"/>
    <w:rsid w:val="00CC036D"/>
    <w:rsid w:val="00CC15D8"/>
    <w:rsid w:val="00D6480F"/>
    <w:rsid w:val="00D96373"/>
    <w:rsid w:val="00D9705A"/>
    <w:rsid w:val="00DD4B6E"/>
    <w:rsid w:val="00DD4C2D"/>
    <w:rsid w:val="00DE2944"/>
    <w:rsid w:val="00E03B53"/>
    <w:rsid w:val="00EA14CA"/>
    <w:rsid w:val="00EA19F5"/>
    <w:rsid w:val="00EC4B24"/>
    <w:rsid w:val="00F100F9"/>
    <w:rsid w:val="00F152AF"/>
    <w:rsid w:val="00F3028E"/>
    <w:rsid w:val="00FA136F"/>
    <w:rsid w:val="00FA31B9"/>
    <w:rsid w:val="00FC2A84"/>
    <w:rsid w:val="00FC5B4A"/>
    <w:rsid w:val="00FD773F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0CB1"/>
  <w15:chartTrackingRefBased/>
  <w15:docId w15:val="{F21E661E-F9A2-497B-B002-00F2DD9F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4A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43"/>
    <w:rPr>
      <w:noProof/>
    </w:rPr>
  </w:style>
  <w:style w:type="paragraph" w:styleId="ListParagraph">
    <w:name w:val="List Paragraph"/>
    <w:basedOn w:val="Normal"/>
    <w:uiPriority w:val="34"/>
    <w:qFormat/>
    <w:rsid w:val="00B779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EF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rsid w:val="00654BA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F1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ina.kovac@omisalj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9787-58CA-46D4-ADCA-DA812C08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Nina Kovač</cp:lastModifiedBy>
  <cp:revision>12</cp:revision>
  <cp:lastPrinted>2023-10-13T11:23:00Z</cp:lastPrinted>
  <dcterms:created xsi:type="dcterms:W3CDTF">2023-10-13T11:24:00Z</dcterms:created>
  <dcterms:modified xsi:type="dcterms:W3CDTF">2024-12-05T13:25:00Z</dcterms:modified>
</cp:coreProperties>
</file>