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9149C0" w:rsidRPr="004A77D7" w14:paraId="1EDDB76B" w14:textId="77777777" w:rsidTr="009149C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8839" w14:textId="77777777" w:rsidR="009149C0" w:rsidRPr="004A77D7" w:rsidRDefault="009149C0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bookmarkStart w:id="0" w:name="_Hlk181098636"/>
            <w:r w:rsidRPr="004A77D7">
              <w:rPr>
                <w:rFonts w:ascii="Garamond" w:eastAsia="PMingLiU" w:hAnsi="Garamond" w:cs="Times New Roman"/>
                <w:sz w:val="24"/>
                <w:szCs w:val="24"/>
                <w:lang w:eastAsia="hr-HR"/>
              </w:rPr>
              <w:drawing>
                <wp:inline distT="0" distB="0" distL="0" distR="0" wp14:anchorId="5047DBCC" wp14:editId="6FC80882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9C0" w:rsidRPr="004A77D7" w14:paraId="256B6F00" w14:textId="77777777" w:rsidTr="009149C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4D00" w14:textId="77777777" w:rsidR="009149C0" w:rsidRPr="004A77D7" w:rsidRDefault="009149C0" w:rsidP="0093053F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4A77D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REPUBLIKA HRVATSKA</w:t>
            </w:r>
          </w:p>
          <w:p w14:paraId="30E0DDA1" w14:textId="77777777" w:rsidR="009149C0" w:rsidRPr="004A77D7" w:rsidRDefault="009149C0" w:rsidP="0093053F">
            <w:pPr>
              <w:keepNext/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</w:pPr>
            <w:r w:rsidRPr="004A77D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  <w:t>PRIMORSKO-GORANSKA ŽUPANIJA</w:t>
            </w:r>
          </w:p>
          <w:p w14:paraId="3DA34128" w14:textId="77777777" w:rsidR="009149C0" w:rsidRPr="004A77D7" w:rsidRDefault="009149C0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4A77D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OPĆINA OMIŠALJ</w:t>
            </w:r>
          </w:p>
          <w:p w14:paraId="3B0762F0" w14:textId="169823A6" w:rsidR="009149C0" w:rsidRPr="004A77D7" w:rsidRDefault="004B1B88" w:rsidP="0093053F">
            <w:pPr>
              <w:suppressAutoHyphens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4B1B88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 xml:space="preserve">JEDINSTVENI </w:t>
            </w:r>
            <w:r w:rsidR="009149C0" w:rsidRPr="004A77D7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258E165D" w14:textId="77777777" w:rsidR="009149C0" w:rsidRPr="004A77D7" w:rsidRDefault="009149C0" w:rsidP="0093053F">
      <w:pPr>
        <w:suppressAutoHyphens/>
        <w:spacing w:after="0" w:line="240" w:lineRule="auto"/>
        <w:ind w:left="4956" w:firstLine="720"/>
        <w:jc w:val="center"/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</w:pPr>
    </w:p>
    <w:p w14:paraId="56FCAC93" w14:textId="09A40ABD" w:rsidR="009149C0" w:rsidRPr="004A77D7" w:rsidRDefault="004A218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KLASA: </w:t>
      </w:r>
      <w:r w:rsidR="001D56C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024-01/</w:t>
      </w:r>
      <w:r w:rsidR="004B1B88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25</w:t>
      </w:r>
      <w:r w:rsidR="001D56C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-01/</w:t>
      </w:r>
      <w:r w:rsidR="004B1B88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89</w:t>
      </w:r>
    </w:p>
    <w:p w14:paraId="3675657C" w14:textId="42990F43" w:rsidR="009149C0" w:rsidRPr="004A77D7" w:rsidRDefault="004A218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URBROJ: </w:t>
      </w:r>
      <w:r w:rsidR="001D56C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2170-30-</w:t>
      </w:r>
      <w:r w:rsidR="004B1B88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25</w:t>
      </w:r>
      <w:r w:rsidR="001D56C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-1</w:t>
      </w:r>
    </w:p>
    <w:p w14:paraId="50C316F8" w14:textId="77EB3BA1" w:rsidR="009149C0" w:rsidRPr="004A77D7" w:rsidRDefault="009149C0" w:rsidP="0093053F">
      <w:pPr>
        <w:suppressAutoHyphens/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Omišalj, </w:t>
      </w:r>
      <w:r w:rsidR="007F32D4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4</w:t>
      </w:r>
      <w:r w:rsidR="00A752C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. </w:t>
      </w:r>
      <w:r w:rsidR="004B1B88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studenog</w:t>
      </w:r>
      <w:r w:rsidR="009A529C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 </w:t>
      </w:r>
      <w:r w:rsidR="004B1B88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2025</w:t>
      </w:r>
      <w:r w:rsidR="003E1051" w:rsidRPr="004A77D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.</w:t>
      </w:r>
    </w:p>
    <w:p w14:paraId="3A78BD2E" w14:textId="77777777" w:rsidR="0093053F" w:rsidRPr="004A77D7" w:rsidRDefault="0093053F" w:rsidP="0093053F">
      <w:pPr>
        <w:suppressAutoHyphens/>
        <w:spacing w:after="0" w:line="240" w:lineRule="auto"/>
        <w:jc w:val="both"/>
        <w:rPr>
          <w:rFonts w:ascii="Garamond" w:eastAsia="PMingLiU" w:hAnsi="Garamond" w:cs="Times New Roman"/>
          <w:noProof w:val="0"/>
          <w:color w:val="FF0000"/>
          <w:sz w:val="24"/>
          <w:szCs w:val="24"/>
          <w:lang w:eastAsia="zh-TW"/>
        </w:rPr>
      </w:pPr>
    </w:p>
    <w:p w14:paraId="2C83CA3B" w14:textId="77CBFB48" w:rsidR="00BD20C0" w:rsidRPr="004A77D7" w:rsidRDefault="009149C0" w:rsidP="001D56CC">
      <w:pPr>
        <w:suppressAutoHyphens/>
        <w:spacing w:after="0" w:line="240" w:lineRule="auto"/>
        <w:jc w:val="both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PREDMET: </w:t>
      </w:r>
      <w:bookmarkStart w:id="1" w:name="_Hlk181096239"/>
      <w:r w:rsidR="009208D9"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SAVJETOVANJE SA ZAINTERESIRANOM JAVNO</w:t>
      </w:r>
      <w:bookmarkEnd w:id="1"/>
      <w:r w:rsidR="009208D9"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ŠĆU O </w:t>
      </w:r>
      <w:bookmarkStart w:id="2" w:name="_Hlk181096261"/>
      <w:r w:rsidR="009208D9"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NACRTU PLANA DAVANJA KONCESIJA </w:t>
      </w:r>
      <w:bookmarkStart w:id="3" w:name="_Hlk181102450"/>
      <w:r w:rsidR="009208D9"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NA PODRUČJU OPĆINE OMIŠALJ ZA </w:t>
      </w:r>
      <w:r w:rsidR="000F414F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2026</w:t>
      </w:r>
      <w:r w:rsidR="009208D9" w:rsidRPr="004A77D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>. GODINU</w:t>
      </w:r>
      <w:bookmarkEnd w:id="2"/>
      <w:bookmarkEnd w:id="3"/>
    </w:p>
    <w:p w14:paraId="41970842" w14:textId="77777777" w:rsidR="000367F8" w:rsidRPr="004A77D7" w:rsidRDefault="000367F8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</w:pPr>
    </w:p>
    <w:p w14:paraId="67D98AA8" w14:textId="3F5B6E15" w:rsidR="009208D9" w:rsidRPr="004A77D7" w:rsidRDefault="007B4C41" w:rsidP="001D56CC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A77D7">
        <w:rPr>
          <w:rFonts w:ascii="Garamond" w:eastAsia="Times New Roman" w:hAnsi="Garamond" w:cs="Times New Roman"/>
          <w:noProof w:val="0"/>
          <w:sz w:val="24"/>
          <w:szCs w:val="24"/>
        </w:rPr>
        <w:tab/>
      </w:r>
      <w:r w:rsidR="001D56CC" w:rsidRPr="004A77D7">
        <w:rPr>
          <w:rFonts w:ascii="Garamond" w:hAnsi="Garamond" w:cs="Times New Roman"/>
          <w:sz w:val="24"/>
          <w:szCs w:val="24"/>
        </w:rPr>
        <w:t xml:space="preserve"> Temeljem članka </w:t>
      </w:r>
      <w:r w:rsidR="009208D9" w:rsidRPr="004A77D7">
        <w:rPr>
          <w:rFonts w:ascii="Garamond" w:hAnsi="Garamond" w:cs="Times New Roman"/>
          <w:sz w:val="24"/>
          <w:szCs w:val="24"/>
        </w:rPr>
        <w:t>78</w:t>
      </w:r>
      <w:r w:rsidR="001D56CC" w:rsidRPr="004A77D7">
        <w:rPr>
          <w:rFonts w:ascii="Garamond" w:hAnsi="Garamond" w:cs="Times New Roman"/>
          <w:sz w:val="24"/>
          <w:szCs w:val="24"/>
        </w:rPr>
        <w:t xml:space="preserve">. </w:t>
      </w:r>
      <w:r w:rsidR="009208D9" w:rsidRPr="004A77D7">
        <w:rPr>
          <w:rFonts w:ascii="Garamond" w:hAnsi="Garamond" w:cs="Times New Roman"/>
          <w:sz w:val="24"/>
          <w:szCs w:val="24"/>
        </w:rPr>
        <w:t>Zakon</w:t>
      </w:r>
      <w:r w:rsidR="00D33816" w:rsidRPr="004A77D7">
        <w:rPr>
          <w:rFonts w:ascii="Garamond" w:hAnsi="Garamond" w:cs="Times New Roman"/>
          <w:sz w:val="24"/>
          <w:szCs w:val="24"/>
        </w:rPr>
        <w:t>a</w:t>
      </w:r>
      <w:r w:rsidR="009208D9" w:rsidRPr="004A77D7">
        <w:rPr>
          <w:rFonts w:ascii="Garamond" w:hAnsi="Garamond" w:cs="Times New Roman"/>
          <w:sz w:val="24"/>
          <w:szCs w:val="24"/>
        </w:rPr>
        <w:t xml:space="preserve"> o koncesijama </w:t>
      </w:r>
      <w:r w:rsidR="001D56CC" w:rsidRPr="004A77D7">
        <w:rPr>
          <w:rFonts w:ascii="Garamond" w:hAnsi="Garamond" w:cs="Times New Roman"/>
          <w:sz w:val="24"/>
          <w:szCs w:val="24"/>
        </w:rPr>
        <w:t xml:space="preserve">(„Narodne novine“ broj </w:t>
      </w:r>
      <w:r w:rsidR="009208D9" w:rsidRPr="004A77D7">
        <w:rPr>
          <w:rFonts w:ascii="Garamond" w:hAnsi="Garamond" w:cs="Times New Roman"/>
          <w:sz w:val="24"/>
          <w:szCs w:val="24"/>
        </w:rPr>
        <w:t>67/19 i 107/20</w:t>
      </w:r>
      <w:r w:rsidR="001D56CC" w:rsidRPr="004A77D7">
        <w:rPr>
          <w:rFonts w:ascii="Garamond" w:hAnsi="Garamond" w:cs="Times New Roman"/>
          <w:sz w:val="24"/>
          <w:szCs w:val="24"/>
        </w:rPr>
        <w:t xml:space="preserve">) </w:t>
      </w:r>
      <w:r w:rsidR="009208D9" w:rsidRPr="004A77D7">
        <w:rPr>
          <w:rFonts w:ascii="Garamond" w:hAnsi="Garamond" w:cs="Times New Roman"/>
          <w:sz w:val="24"/>
          <w:szCs w:val="24"/>
        </w:rPr>
        <w:t>nadležno tijelo jedinice lokalne i područne (regionalne) samouprave, u ime jedinice lokalne i područne (regionalne) samouprave dužno je izraditi godišnji plan davanja koncesija iz svoje nadležnosti za iduću kalendarsku godinu</w:t>
      </w:r>
      <w:r w:rsidR="00652512" w:rsidRPr="004A77D7">
        <w:rPr>
          <w:rFonts w:ascii="Garamond" w:hAnsi="Garamond" w:cs="Times New Roman"/>
          <w:sz w:val="24"/>
          <w:szCs w:val="24"/>
        </w:rPr>
        <w:t>, te ga najkasnije do kraja siječnja iduće godine dostaviti ministarstvu nadležnom za financije na obrascu koji predstavlja prilog 3. Pravilnika o registru koncesija („Narodne novine“ broj 1/18).</w:t>
      </w:r>
    </w:p>
    <w:p w14:paraId="3AE6695D" w14:textId="77777777" w:rsidR="00652512" w:rsidRPr="004A77D7" w:rsidRDefault="00652512" w:rsidP="001D56CC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09BD0DB" w14:textId="489D1C56" w:rsidR="00652512" w:rsidRPr="004A77D7" w:rsidRDefault="00652512" w:rsidP="004B1B88">
      <w:pPr>
        <w:tabs>
          <w:tab w:val="left" w:pos="540"/>
        </w:tabs>
        <w:suppressAutoHyphens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A77D7">
        <w:rPr>
          <w:rFonts w:ascii="Garamond" w:hAnsi="Garamond" w:cs="Times New Roman"/>
          <w:sz w:val="24"/>
          <w:szCs w:val="24"/>
        </w:rPr>
        <w:tab/>
        <w:t>Godišnji plan davanja koncesija mora biti usklađen sa srednjoročnim (trogodišnjim) planom davanja koncesija.</w:t>
      </w:r>
      <w:r w:rsidR="004B1B88">
        <w:rPr>
          <w:rFonts w:ascii="Garamond" w:hAnsi="Garamond" w:cs="Times New Roman"/>
          <w:sz w:val="24"/>
          <w:szCs w:val="24"/>
        </w:rPr>
        <w:t xml:space="preserve"> </w:t>
      </w:r>
      <w:r w:rsidR="004B1B88" w:rsidRPr="004B1B88">
        <w:rPr>
          <w:rFonts w:ascii="Garamond" w:hAnsi="Garamond" w:cs="Times New Roman"/>
          <w:sz w:val="24"/>
          <w:szCs w:val="24"/>
        </w:rPr>
        <w:t xml:space="preserve">Općinsko vijeće </w:t>
      </w:r>
      <w:r w:rsidR="004B1B88">
        <w:rPr>
          <w:rFonts w:ascii="Garamond" w:hAnsi="Garamond" w:cs="Times New Roman"/>
          <w:sz w:val="24"/>
          <w:szCs w:val="24"/>
        </w:rPr>
        <w:t xml:space="preserve">je </w:t>
      </w:r>
      <w:r w:rsidR="004B1B88" w:rsidRPr="004B1B88">
        <w:rPr>
          <w:rFonts w:ascii="Garamond" w:hAnsi="Garamond" w:cs="Times New Roman"/>
          <w:sz w:val="24"/>
          <w:szCs w:val="24"/>
        </w:rPr>
        <w:t xml:space="preserve">na </w:t>
      </w:r>
      <w:r w:rsidR="004B1B88">
        <w:rPr>
          <w:rFonts w:ascii="Garamond" w:hAnsi="Garamond" w:cs="Times New Roman"/>
          <w:sz w:val="24"/>
          <w:szCs w:val="24"/>
        </w:rPr>
        <w:t xml:space="preserve">21. </w:t>
      </w:r>
      <w:r w:rsidR="004B1B88" w:rsidRPr="004B1B88">
        <w:rPr>
          <w:rFonts w:ascii="Garamond" w:hAnsi="Garamond" w:cs="Times New Roman"/>
          <w:sz w:val="24"/>
          <w:szCs w:val="24"/>
        </w:rPr>
        <w:t xml:space="preserve">sjednici održanoj </w:t>
      </w:r>
      <w:r w:rsidR="004B1B88">
        <w:rPr>
          <w:rFonts w:ascii="Garamond" w:hAnsi="Garamond" w:cs="Times New Roman"/>
          <w:sz w:val="24"/>
          <w:szCs w:val="24"/>
        </w:rPr>
        <w:t>16</w:t>
      </w:r>
      <w:r w:rsidR="004B1B88" w:rsidRPr="004B1B88">
        <w:rPr>
          <w:rFonts w:ascii="Garamond" w:hAnsi="Garamond" w:cs="Times New Roman"/>
          <w:sz w:val="24"/>
          <w:szCs w:val="24"/>
        </w:rPr>
        <w:t xml:space="preserve">. prosinca </w:t>
      </w:r>
      <w:r w:rsidR="004B1B88">
        <w:rPr>
          <w:rFonts w:ascii="Garamond" w:hAnsi="Garamond" w:cs="Times New Roman"/>
          <w:sz w:val="24"/>
          <w:szCs w:val="24"/>
        </w:rPr>
        <w:t>2024</w:t>
      </w:r>
      <w:r w:rsidR="004B1B88" w:rsidRPr="004B1B88">
        <w:rPr>
          <w:rFonts w:ascii="Garamond" w:hAnsi="Garamond" w:cs="Times New Roman"/>
          <w:sz w:val="24"/>
          <w:szCs w:val="24"/>
        </w:rPr>
        <w:t xml:space="preserve">. usvojilo Srednjoročni (trogodišnji) Plan davanja koncesija na području općine Omišalj za razdoblje od  </w:t>
      </w:r>
      <w:r w:rsidR="004B1B88">
        <w:rPr>
          <w:rFonts w:ascii="Garamond" w:hAnsi="Garamond" w:cs="Times New Roman"/>
          <w:sz w:val="24"/>
          <w:szCs w:val="24"/>
        </w:rPr>
        <w:t>2025</w:t>
      </w:r>
      <w:r w:rsidR="004B1B88" w:rsidRPr="004B1B88">
        <w:rPr>
          <w:rFonts w:ascii="Garamond" w:hAnsi="Garamond" w:cs="Times New Roman"/>
          <w:sz w:val="24"/>
          <w:szCs w:val="24"/>
        </w:rPr>
        <w:t>. do 202</w:t>
      </w:r>
      <w:r w:rsidR="004B1B88">
        <w:rPr>
          <w:rFonts w:ascii="Garamond" w:hAnsi="Garamond" w:cs="Times New Roman"/>
          <w:sz w:val="24"/>
          <w:szCs w:val="24"/>
        </w:rPr>
        <w:t>7</w:t>
      </w:r>
      <w:r w:rsidR="004B1B88" w:rsidRPr="004B1B88">
        <w:rPr>
          <w:rFonts w:ascii="Garamond" w:hAnsi="Garamond" w:cs="Times New Roman"/>
          <w:sz w:val="24"/>
          <w:szCs w:val="24"/>
        </w:rPr>
        <w:t>. godine</w:t>
      </w:r>
      <w:r w:rsidR="004B1B88">
        <w:rPr>
          <w:rFonts w:ascii="Garamond" w:hAnsi="Garamond" w:cs="Times New Roman"/>
          <w:sz w:val="24"/>
          <w:szCs w:val="24"/>
        </w:rPr>
        <w:t xml:space="preserve"> </w:t>
      </w:r>
      <w:r w:rsidR="004B1B88" w:rsidRPr="004B1B88">
        <w:rPr>
          <w:rFonts w:ascii="Garamond" w:hAnsi="Garamond" w:cs="Times New Roman"/>
          <w:sz w:val="24"/>
          <w:szCs w:val="24"/>
        </w:rPr>
        <w:t>(„Službene novine Primorsko-goranske</w:t>
      </w:r>
      <w:r w:rsidR="004B1B88">
        <w:rPr>
          <w:rFonts w:ascii="Garamond" w:hAnsi="Garamond" w:cs="Times New Roman"/>
          <w:sz w:val="24"/>
          <w:szCs w:val="24"/>
        </w:rPr>
        <w:t xml:space="preserve"> </w:t>
      </w:r>
      <w:r w:rsidR="004B1B88" w:rsidRPr="004B1B88">
        <w:rPr>
          <w:rFonts w:ascii="Garamond" w:hAnsi="Garamond" w:cs="Times New Roman"/>
          <w:sz w:val="24"/>
          <w:szCs w:val="24"/>
        </w:rPr>
        <w:t xml:space="preserve">županije“ broj </w:t>
      </w:r>
      <w:r w:rsidR="004B1B88">
        <w:rPr>
          <w:rFonts w:ascii="Garamond" w:hAnsi="Garamond" w:cs="Times New Roman"/>
          <w:sz w:val="24"/>
          <w:szCs w:val="24"/>
        </w:rPr>
        <w:t>54/24</w:t>
      </w:r>
      <w:r w:rsidR="004B1B88" w:rsidRPr="004B1B88">
        <w:rPr>
          <w:rFonts w:ascii="Garamond" w:hAnsi="Garamond" w:cs="Times New Roman"/>
          <w:sz w:val="24"/>
          <w:szCs w:val="24"/>
        </w:rPr>
        <w:t xml:space="preserve">), sukladno kojem se </w:t>
      </w:r>
      <w:r w:rsidR="004B1B88">
        <w:rPr>
          <w:rFonts w:ascii="Garamond" w:hAnsi="Garamond" w:cs="Times New Roman"/>
          <w:sz w:val="24"/>
          <w:szCs w:val="24"/>
        </w:rPr>
        <w:t>u 2026. godini ne planira</w:t>
      </w:r>
      <w:r w:rsidR="004B1B88" w:rsidRPr="004B1B88">
        <w:rPr>
          <w:rFonts w:ascii="Garamond" w:hAnsi="Garamond" w:cs="Times New Roman"/>
          <w:sz w:val="24"/>
          <w:szCs w:val="24"/>
        </w:rPr>
        <w:t xml:space="preserve"> davanje koncesija.</w:t>
      </w:r>
    </w:p>
    <w:p w14:paraId="5CC21EC6" w14:textId="77777777" w:rsidR="001D56CC" w:rsidRPr="004A77D7" w:rsidRDefault="001D56CC" w:rsidP="001D56CC">
      <w:pPr>
        <w:tabs>
          <w:tab w:val="left" w:pos="54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</w:pPr>
    </w:p>
    <w:p w14:paraId="26B32894" w14:textId="7B7BC344" w:rsidR="0065313D" w:rsidRPr="004A77D7" w:rsidRDefault="001D09AE" w:rsidP="00D33816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4A77D7"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  <w:tab/>
      </w:r>
      <w:r w:rsidR="00D33816" w:rsidRPr="004A77D7">
        <w:rPr>
          <w:rFonts w:ascii="Garamond" w:hAnsi="Garamond" w:cs="Times New Roman"/>
          <w:sz w:val="24"/>
          <w:szCs w:val="24"/>
        </w:rPr>
        <w:t xml:space="preserve">Temeljem članka </w:t>
      </w:r>
      <w:r w:rsidR="00B8421C" w:rsidRPr="004A77D7">
        <w:rPr>
          <w:rFonts w:ascii="Garamond" w:hAnsi="Garamond" w:cs="Times New Roman"/>
          <w:sz w:val="24"/>
          <w:szCs w:val="24"/>
        </w:rPr>
        <w:t xml:space="preserve">44. </w:t>
      </w:r>
      <w:bookmarkStart w:id="4" w:name="_Hlk181098116"/>
      <w:r w:rsidR="00B8421C" w:rsidRPr="004A77D7">
        <w:rPr>
          <w:rFonts w:ascii="Garamond" w:hAnsi="Garamond" w:cs="Times New Roman"/>
          <w:sz w:val="24"/>
          <w:szCs w:val="24"/>
        </w:rPr>
        <w:t>Zakona o komunalnom gospodarstvu („Narodne novine“ broj 68/18, 110/18</w:t>
      </w:r>
      <w:r w:rsidR="00656574">
        <w:rPr>
          <w:rFonts w:ascii="Garamond" w:hAnsi="Garamond" w:cs="Times New Roman"/>
          <w:sz w:val="24"/>
          <w:szCs w:val="24"/>
        </w:rPr>
        <w:t>,</w:t>
      </w:r>
      <w:r w:rsidR="00B8421C" w:rsidRPr="004A77D7">
        <w:rPr>
          <w:rFonts w:ascii="Garamond" w:hAnsi="Garamond" w:cs="Times New Roman"/>
          <w:sz w:val="24"/>
          <w:szCs w:val="24"/>
        </w:rPr>
        <w:t xml:space="preserve"> 32/20</w:t>
      </w:r>
      <w:r w:rsidR="00656574">
        <w:rPr>
          <w:rFonts w:ascii="Garamond" w:hAnsi="Garamond" w:cs="Times New Roman"/>
          <w:sz w:val="24"/>
          <w:szCs w:val="24"/>
        </w:rPr>
        <w:t xml:space="preserve"> i 145/25</w:t>
      </w:r>
      <w:r w:rsidR="00B8421C" w:rsidRPr="004A77D7">
        <w:rPr>
          <w:rFonts w:ascii="Garamond" w:hAnsi="Garamond" w:cs="Times New Roman"/>
          <w:sz w:val="24"/>
          <w:szCs w:val="24"/>
        </w:rPr>
        <w:t>)</w:t>
      </w:r>
      <w:bookmarkEnd w:id="4"/>
      <w:r w:rsidR="00B8421C" w:rsidRPr="004A77D7">
        <w:rPr>
          <w:rFonts w:ascii="Garamond" w:hAnsi="Garamond" w:cs="Times New Roman"/>
          <w:sz w:val="24"/>
          <w:szCs w:val="24"/>
        </w:rPr>
        <w:t xml:space="preserve"> i članka </w:t>
      </w:r>
      <w:r w:rsidR="00D33816" w:rsidRPr="004A77D7">
        <w:rPr>
          <w:rFonts w:ascii="Garamond" w:hAnsi="Garamond" w:cs="Times New Roman"/>
          <w:sz w:val="24"/>
          <w:szCs w:val="24"/>
        </w:rPr>
        <w:t xml:space="preserve">8. </w:t>
      </w:r>
      <w:bookmarkStart w:id="5" w:name="_Hlk181098277"/>
      <w:r w:rsidR="00D33816" w:rsidRPr="004A77D7"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  <w:t>Odluke o komunalnim djelatnostima na području općine Omišalj („Službene novine Primorsko-goranske županije“ broj 6/22, 12/22, 20/22 i 17/23)</w:t>
      </w:r>
      <w:bookmarkEnd w:id="5"/>
      <w:r w:rsidR="009208D9" w:rsidRPr="004A77D7"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  <w:t xml:space="preserve">, </w:t>
      </w:r>
      <w:r w:rsidR="00B8421C" w:rsidRPr="004A77D7"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  <w:t xml:space="preserve">pravna ili fizička osoba može steći pravo obavljanja komunalne djelatnosti obavljanja dimnjačarskih poslova </w:t>
      </w:r>
      <w:r w:rsidR="00D33816" w:rsidRPr="004A77D7"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  <w:t>koncesijom</w:t>
      </w:r>
      <w:r w:rsidR="009208D9" w:rsidRPr="004A77D7"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  <w:t>.</w:t>
      </w:r>
    </w:p>
    <w:p w14:paraId="4796FA4B" w14:textId="77777777" w:rsidR="0093053F" w:rsidRPr="004A77D7" w:rsidRDefault="0093053F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4700AD5F" w14:textId="635AFC65" w:rsidR="00656574" w:rsidRDefault="0065313D" w:rsidP="00656574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="00656574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Uzimajući u obzir da je Općina Omišalj u studenom </w:t>
      </w:r>
      <w:r w:rsidR="00B86CE2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2025.</w:t>
      </w:r>
      <w:r w:rsidR="00656574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godine</w:t>
      </w:r>
      <w:r w:rsidR="00656574" w:rsidRPr="00656574">
        <w:t xml:space="preserve"> </w:t>
      </w:r>
      <w:r w:rsidR="00656574" w:rsidRPr="00656574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s gospodarskim subjektom MLD-USLUGE d.o.o. zaključila Ugovor o koncesiji za obavljanje dimnjačarskih poslova na području općine Omišalj</w:t>
      </w:r>
      <w:r w:rsidR="00656574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, </w:t>
      </w:r>
      <w:r w:rsidR="00B86CE2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u trajanju od</w:t>
      </w:r>
      <w:r w:rsidR="00656574" w:rsidRPr="00656574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5 (pet) godina od sklapanja ugovora</w:t>
      </w:r>
      <w:r w:rsidR="00B86CE2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, u 2026. godini ne planira se davanje drugih koncesija.</w:t>
      </w:r>
    </w:p>
    <w:p w14:paraId="3DAEA0DC" w14:textId="77777777" w:rsidR="00D33816" w:rsidRPr="004A77D7" w:rsidRDefault="00D33816" w:rsidP="00D33816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90BDE6B" w14:textId="680FB4BA" w:rsidR="0065313D" w:rsidRPr="004A77D7" w:rsidRDefault="00B8421C" w:rsidP="00D33816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  <w:r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ab/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Svoje prijedloge vezane uz Nacrt </w:t>
      </w:r>
      <w:r w:rsidR="00827266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>Plana</w:t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možete podnijeti putem Obrasca za savjetovanje dostupnog na ovoj stranici. Popunjen obrazac šalje se putem e-maila na adresu: </w:t>
      </w:r>
      <w:hyperlink r:id="rId9" w:history="1">
        <w:r w:rsidR="00827266" w:rsidRPr="004A77D7">
          <w:rPr>
            <w:rStyle w:val="Hyperlink"/>
            <w:rFonts w:ascii="Garamond" w:eastAsia="PMingLiU" w:hAnsi="Garamond" w:cs="Times New Roman"/>
            <w:b/>
            <w:bCs/>
            <w:noProof w:val="0"/>
            <w:sz w:val="24"/>
            <w:szCs w:val="24"/>
            <w:lang w:eastAsia="zh-TW"/>
          </w:rPr>
          <w:t>kristijan.loncaric@omisalj.hr</w:t>
        </w:r>
      </w:hyperlink>
      <w:r w:rsidR="00827266" w:rsidRPr="004A77D7">
        <w:rPr>
          <w:rFonts w:ascii="Garamond" w:eastAsia="PMingLiU" w:hAnsi="Garamond" w:cs="Times New Roman"/>
          <w:b/>
          <w:bCs/>
          <w:noProof w:val="0"/>
          <w:sz w:val="24"/>
          <w:szCs w:val="24"/>
          <w:lang w:eastAsia="zh-TW"/>
        </w:rPr>
        <w:t xml:space="preserve"> </w:t>
      </w:r>
    </w:p>
    <w:p w14:paraId="5C278E46" w14:textId="77777777" w:rsidR="0065313D" w:rsidRPr="004A77D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5886EBF4" w14:textId="51A44B0C" w:rsidR="0065313D" w:rsidRPr="004A77D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Savjetovanje o </w:t>
      </w:r>
      <w:r w:rsidR="000F414F">
        <w:rPr>
          <w:rFonts w:ascii="Garamond" w:eastAsia="Calibri" w:hAnsi="Garamond" w:cs="Times New Roman"/>
          <w:b/>
          <w:noProof w:val="0"/>
          <w:sz w:val="24"/>
          <w:szCs w:val="24"/>
        </w:rPr>
        <w:t>N</w:t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acrtu </w:t>
      </w:r>
      <w:r w:rsidR="00827266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>Plana</w:t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otvoreno je </w:t>
      </w:r>
      <w:r w:rsidR="009149C0" w:rsidRPr="004A77D7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do </w:t>
      </w:r>
      <w:r w:rsidR="007F32D4">
        <w:rPr>
          <w:rFonts w:ascii="Garamond" w:eastAsia="PMingLiU" w:hAnsi="Garamond" w:cs="Times New Roman"/>
          <w:b/>
          <w:noProof w:val="0"/>
          <w:sz w:val="24"/>
          <w:szCs w:val="24"/>
          <w:u w:val="single"/>
          <w:lang w:eastAsia="zh-TW"/>
        </w:rPr>
        <w:t>5</w:t>
      </w:r>
      <w:r w:rsidR="00A752C7">
        <w:rPr>
          <w:rFonts w:ascii="Garamond" w:eastAsia="PMingLiU" w:hAnsi="Garamond" w:cs="Times New Roman"/>
          <w:b/>
          <w:noProof w:val="0"/>
          <w:sz w:val="24"/>
          <w:szCs w:val="24"/>
          <w:u w:val="single"/>
          <w:lang w:eastAsia="zh-TW"/>
        </w:rPr>
        <w:t>. prosinca</w:t>
      </w:r>
      <w:r w:rsidR="00827266" w:rsidRPr="004A77D7">
        <w:rPr>
          <w:rFonts w:ascii="Garamond" w:eastAsia="PMingLiU" w:hAnsi="Garamond" w:cs="Times New Roman"/>
          <w:b/>
          <w:noProof w:val="0"/>
          <w:sz w:val="24"/>
          <w:szCs w:val="24"/>
          <w:u w:val="single"/>
          <w:lang w:eastAsia="zh-TW"/>
        </w:rPr>
        <w:t xml:space="preserve"> </w:t>
      </w:r>
      <w:r w:rsidR="00B86CE2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2025</w:t>
      </w:r>
      <w:r w:rsidR="00827266" w:rsidRPr="004A77D7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.</w:t>
      </w:r>
    </w:p>
    <w:p w14:paraId="48CE30B8" w14:textId="77777777" w:rsidR="0065313D" w:rsidRPr="004A77D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7E388BC" w14:textId="27A9B477" w:rsidR="009149C0" w:rsidRPr="004A77D7" w:rsidRDefault="0065313D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4A77D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="009149C0" w:rsidRPr="004A77D7">
        <w:rPr>
          <w:rFonts w:ascii="Garamond" w:eastAsia="Calibri" w:hAnsi="Garamond" w:cs="Times New Roman"/>
          <w:noProof w:val="0"/>
          <w:sz w:val="24"/>
          <w:szCs w:val="24"/>
        </w:rPr>
        <w:t>Po završetku Savjetovanja svi pristigli prijedlozi bit će pregledani i razmotreni, sastavit će se Izvješće o prihvaćenim i neprihvaćenim prijedlozima</w:t>
      </w:r>
      <w:r w:rsidR="00967F3F" w:rsidRPr="004A77D7">
        <w:rPr>
          <w:rFonts w:ascii="Garamond" w:eastAsia="Calibri" w:hAnsi="Garamond" w:cs="Times New Roman"/>
          <w:noProof w:val="0"/>
          <w:sz w:val="24"/>
          <w:szCs w:val="24"/>
        </w:rPr>
        <w:t>,</w:t>
      </w:r>
      <w:r w:rsidR="009149C0" w:rsidRPr="004A77D7">
        <w:rPr>
          <w:rFonts w:ascii="Garamond" w:eastAsia="Calibri" w:hAnsi="Garamond" w:cs="Times New Roman"/>
          <w:noProof w:val="0"/>
          <w:sz w:val="24"/>
          <w:szCs w:val="24"/>
        </w:rPr>
        <w:t xml:space="preserve"> kao i razlozima neprihvaćanja</w:t>
      </w:r>
      <w:r w:rsidR="00967F3F" w:rsidRPr="004A77D7">
        <w:rPr>
          <w:rFonts w:ascii="Garamond" w:eastAsia="Calibri" w:hAnsi="Garamond" w:cs="Times New Roman"/>
          <w:noProof w:val="0"/>
          <w:sz w:val="24"/>
          <w:szCs w:val="24"/>
        </w:rPr>
        <w:t>,</w:t>
      </w:r>
      <w:r w:rsidR="009149C0" w:rsidRPr="004A77D7">
        <w:rPr>
          <w:rFonts w:ascii="Garamond" w:eastAsia="Calibri" w:hAnsi="Garamond" w:cs="Times New Roman"/>
          <w:noProof w:val="0"/>
          <w:sz w:val="24"/>
          <w:szCs w:val="24"/>
        </w:rPr>
        <w:t xml:space="preserve"> i to Izvješće bit će objavljeno na ovoj stranici.</w:t>
      </w:r>
    </w:p>
    <w:p w14:paraId="3C14821A" w14:textId="77777777" w:rsidR="00967F3F" w:rsidRPr="004A77D7" w:rsidRDefault="00967F3F" w:rsidP="0093053F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7A111BE" w14:textId="0E3D3D15" w:rsidR="00FA136F" w:rsidRPr="00DD4836" w:rsidRDefault="00DD4836" w:rsidP="00B86CE2">
      <w:pPr>
        <w:suppressAutoHyphens/>
        <w:spacing w:after="0" w:line="240" w:lineRule="auto"/>
        <w:ind w:left="4956" w:firstLine="708"/>
        <w:jc w:val="right"/>
        <w:rPr>
          <w:rFonts w:ascii="Garamond" w:eastAsia="Calibri" w:hAnsi="Garamond" w:cs="Times New Roman"/>
          <w:b/>
          <w:bCs/>
          <w:noProof w:val="0"/>
          <w:sz w:val="24"/>
          <w:szCs w:val="24"/>
        </w:rPr>
      </w:pPr>
      <w:r w:rsidRPr="00DD4836">
        <w:rPr>
          <w:rFonts w:ascii="Garamond" w:eastAsia="Calibri" w:hAnsi="Garamond" w:cs="Times New Roman"/>
          <w:b/>
          <w:bCs/>
          <w:noProof w:val="0"/>
          <w:sz w:val="24"/>
          <w:szCs w:val="24"/>
        </w:rPr>
        <w:t>OPĆINA OMIŠALJ</w:t>
      </w:r>
      <w:bookmarkEnd w:id="0"/>
    </w:p>
    <w:p w14:paraId="54E91D0A" w14:textId="2F6E5423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lastRenderedPageBreak/>
        <w:t xml:space="preserve">Na temelju članka </w:t>
      </w:r>
      <w:r w:rsidRPr="004A77D7">
        <w:rPr>
          <w:rFonts w:ascii="Garamond" w:hAnsi="Garamond" w:cs="Times New Roman"/>
          <w:sz w:val="24"/>
          <w:szCs w:val="24"/>
        </w:rPr>
        <w:t xml:space="preserve">78. Zakona o koncesijama („Narodne novine“ broj 67/19 i 107/20) </w:t>
      </w:r>
      <w:r w:rsidRPr="004A77D7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i članka 33. Statuta Općine Omišalj („Službene novine Primorsko-goranske županije“ broj 5/21), Općinsko vijeće Općine Omišalj na ___ sjednici održanoj __________ </w:t>
      </w:r>
      <w:r w:rsidR="00B86CE2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2025</w:t>
      </w:r>
      <w:r w:rsidRPr="004A77D7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 donijelo je sljedeći</w:t>
      </w:r>
    </w:p>
    <w:p w14:paraId="0E0BDF4F" w14:textId="77777777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8829B1C" w14:textId="77777777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1112650" w14:textId="77777777" w:rsidR="00B86CE2" w:rsidRDefault="004A77D7" w:rsidP="004A77D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ZAKLJUČAK</w:t>
      </w:r>
    </w:p>
    <w:p w14:paraId="458570F7" w14:textId="6212AA03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br/>
        <w:t xml:space="preserve">o donošenju Plana </w:t>
      </w:r>
      <w:bookmarkStart w:id="6" w:name="_Hlk181102490"/>
      <w:r w:rsidRPr="004A77D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davanja koncesija</w:t>
      </w:r>
    </w:p>
    <w:p w14:paraId="0C8E6B32" w14:textId="3ED3CF3D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 xml:space="preserve">na području općine Omišalj za </w:t>
      </w:r>
      <w:r w:rsidR="00B86CE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2026</w:t>
      </w:r>
      <w:r w:rsidRPr="004A77D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. godinu</w:t>
      </w:r>
    </w:p>
    <w:bookmarkEnd w:id="6"/>
    <w:p w14:paraId="77DC2FD1" w14:textId="77777777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EB32612" w14:textId="77777777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01F4548D" w14:textId="77777777" w:rsidR="005F4794" w:rsidRPr="004A77D7" w:rsidRDefault="005F4794" w:rsidP="005F4794">
      <w:pPr>
        <w:shd w:val="clear" w:color="auto" w:fill="FFFFFF"/>
        <w:tabs>
          <w:tab w:val="left" w:pos="4340"/>
          <w:tab w:val="center" w:pos="4536"/>
        </w:tabs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Članak 1</w:t>
      </w:r>
      <w:r w:rsidRPr="004A77D7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.</w:t>
      </w:r>
    </w:p>
    <w:p w14:paraId="24BBFE5F" w14:textId="77777777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5B1A48CB" w14:textId="0BEB6F1F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Donosi se Plan davanja koncesija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</w:t>
      </w:r>
      <w:r w:rsidRPr="004A77D7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na području općine Omišalj za </w:t>
      </w:r>
      <w:r w:rsidR="00B86CE2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2026</w:t>
      </w:r>
      <w:r w:rsidRPr="004A77D7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godinu</w:t>
      </w:r>
      <w:r w:rsidR="0074187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</w:t>
      </w:r>
    </w:p>
    <w:p w14:paraId="1A677C20" w14:textId="77777777" w:rsidR="004A77D7" w:rsidRDefault="004A77D7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7D756340" w14:textId="150E15EC" w:rsidR="00B86CE2" w:rsidRDefault="00B86CE2" w:rsidP="00B86CE2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Članak 2.</w:t>
      </w:r>
    </w:p>
    <w:p w14:paraId="71F0A64D" w14:textId="77777777" w:rsidR="00B86CE2" w:rsidRDefault="00B86CE2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54BBF05A" w14:textId="52170041" w:rsidR="000F414F" w:rsidRDefault="00B86CE2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86CE2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Utvrđuje se da Općina Omišalj u 202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6</w:t>
      </w:r>
      <w:r w:rsidRPr="00B86CE2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godini ne planira davanje koncesija, sukladno</w:t>
      </w:r>
      <w:r w:rsidR="000F414F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</w:t>
      </w:r>
      <w:r w:rsidRPr="00B86CE2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Srednjoročnom (trogodišnjem) </w:t>
      </w:r>
      <w:r w:rsidR="000F414F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</w:t>
      </w:r>
      <w:r w:rsidRPr="00B86CE2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lanu </w:t>
      </w:r>
      <w:r w:rsidR="000F414F" w:rsidRPr="000F414F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davanja koncesija na području općine Omišalj za razdoblje od  2025. do 2027. godine („Službene novine Primorsko-goranske županije“ broj 54/24)</w:t>
      </w:r>
      <w:r w:rsidR="000F414F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</w:t>
      </w:r>
    </w:p>
    <w:p w14:paraId="007EBBAB" w14:textId="77777777" w:rsidR="00B86CE2" w:rsidRPr="004A77D7" w:rsidRDefault="00B86CE2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295CC123" w14:textId="0740CFD5" w:rsidR="005F4794" w:rsidRDefault="005F4794" w:rsidP="005F4794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B86CE2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3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.</w:t>
      </w:r>
    </w:p>
    <w:p w14:paraId="2F379470" w14:textId="77777777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146FFF5B" w14:textId="018C232B" w:rsidR="00741875" w:rsidRDefault="00741875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Plan</w:t>
      </w:r>
      <w:r w:rsidRPr="0074187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iz članka 1. ovog Zaključka nalazi se u privitku Zaključka i čini njegov sastavni dio.</w:t>
      </w:r>
    </w:p>
    <w:p w14:paraId="059E50DE" w14:textId="77777777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725B27E1" w14:textId="3ABCA3F5" w:rsidR="005F4794" w:rsidRDefault="005F4794" w:rsidP="005F4794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B86CE2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4</w:t>
      </w:r>
      <w:r w:rsidRPr="004A77D7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.</w:t>
      </w:r>
    </w:p>
    <w:p w14:paraId="458A60F9" w14:textId="77777777" w:rsidR="004A77D7" w:rsidRPr="004A77D7" w:rsidRDefault="004A77D7" w:rsidP="004A77D7">
      <w:pPr>
        <w:shd w:val="clear" w:color="auto" w:fill="FFFFFF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</w:p>
    <w:p w14:paraId="68B70965" w14:textId="77777777" w:rsidR="004A77D7" w:rsidRPr="004A77D7" w:rsidRDefault="004A77D7" w:rsidP="004A77D7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sz w:val="24"/>
          <w:szCs w:val="24"/>
          <w:lang w:eastAsia="hr-HR"/>
        </w:rPr>
        <w:t>Ovaj Zaključak stupa na snagu osmog dana od dana objave u „Službenim novinama Primorsko-goranske županije“.</w:t>
      </w:r>
    </w:p>
    <w:p w14:paraId="50F058D5" w14:textId="77777777" w:rsidR="004A77D7" w:rsidRPr="004A77D7" w:rsidRDefault="004A77D7" w:rsidP="004A77D7">
      <w:pPr>
        <w:spacing w:after="0" w:line="240" w:lineRule="auto"/>
        <w:contextualSpacing/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</w:pPr>
    </w:p>
    <w:p w14:paraId="2F8CC7DC" w14:textId="77777777" w:rsidR="004A77D7" w:rsidRPr="004A77D7" w:rsidRDefault="004A77D7" w:rsidP="004A77D7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KLASA: </w:t>
      </w:r>
    </w:p>
    <w:p w14:paraId="46DC0CA7" w14:textId="77777777" w:rsidR="004A77D7" w:rsidRPr="004A77D7" w:rsidRDefault="004A77D7" w:rsidP="004A77D7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URBROJ: </w:t>
      </w:r>
    </w:p>
    <w:p w14:paraId="02DE3252" w14:textId="50BD084D" w:rsidR="004A77D7" w:rsidRPr="004A77D7" w:rsidRDefault="004A77D7" w:rsidP="004A77D7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Omišalj, ________ </w:t>
      </w:r>
      <w:r w:rsidR="00B86CE2">
        <w:rPr>
          <w:rFonts w:ascii="Garamond" w:eastAsia="Times New Roman" w:hAnsi="Garamond" w:cs="Times New Roman"/>
          <w:sz w:val="24"/>
          <w:szCs w:val="24"/>
          <w:lang w:eastAsia="hr-HR"/>
        </w:rPr>
        <w:t>2025</w:t>
      </w:r>
      <w:r w:rsidRPr="004A77D7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213D2A7D" w14:textId="77777777" w:rsidR="004A77D7" w:rsidRPr="004A77D7" w:rsidRDefault="004A77D7" w:rsidP="004A77D7">
      <w:pPr>
        <w:spacing w:after="0" w:line="240" w:lineRule="auto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293C7D1" w14:textId="77777777" w:rsidR="004A77D7" w:rsidRPr="004A77D7" w:rsidRDefault="004A77D7" w:rsidP="004A77D7">
      <w:pPr>
        <w:shd w:val="clear" w:color="auto" w:fill="FFFFFF"/>
        <w:spacing w:after="0" w:line="240" w:lineRule="auto"/>
        <w:ind w:left="4248"/>
        <w:contextualSpacing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OPĆINSKO VIJEĆE OPĆINE OMIŠALJ</w:t>
      </w:r>
    </w:p>
    <w:p w14:paraId="3A657591" w14:textId="77777777" w:rsidR="004A77D7" w:rsidRPr="004A77D7" w:rsidRDefault="004A77D7" w:rsidP="004A77D7">
      <w:pPr>
        <w:shd w:val="clear" w:color="auto" w:fill="FFFFFF"/>
        <w:spacing w:after="0" w:line="240" w:lineRule="auto"/>
        <w:ind w:left="4248"/>
        <w:contextualSpacing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Predsjednica</w:t>
      </w:r>
    </w:p>
    <w:p w14:paraId="615C10F1" w14:textId="77777777" w:rsidR="004A77D7" w:rsidRPr="004A77D7" w:rsidRDefault="004A77D7" w:rsidP="004A77D7">
      <w:pPr>
        <w:shd w:val="clear" w:color="auto" w:fill="FFFFFF"/>
        <w:spacing w:after="0" w:line="240" w:lineRule="auto"/>
        <w:ind w:left="4248"/>
        <w:contextualSpacing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4A77D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Dunja Mihelec</w:t>
      </w:r>
    </w:p>
    <w:p w14:paraId="7D882457" w14:textId="77777777" w:rsidR="004A77D7" w:rsidRPr="004A77D7" w:rsidRDefault="004A77D7" w:rsidP="004A77D7">
      <w:pPr>
        <w:suppressAutoHyphens/>
        <w:spacing w:after="0" w:line="240" w:lineRule="auto"/>
        <w:rPr>
          <w:rFonts w:ascii="Garamond" w:eastAsia="Calibri" w:hAnsi="Garamond" w:cs="Times New Roman"/>
          <w:noProof w:val="0"/>
          <w:sz w:val="24"/>
          <w:szCs w:val="24"/>
        </w:rPr>
      </w:pPr>
    </w:p>
    <w:sectPr w:rsidR="004A77D7" w:rsidRPr="004A77D7" w:rsidSect="004A77D7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3282" w14:textId="77777777" w:rsidR="009A428D" w:rsidRPr="004A77D7" w:rsidRDefault="009A428D" w:rsidP="004A77D7">
      <w:pPr>
        <w:spacing w:after="0" w:line="240" w:lineRule="auto"/>
      </w:pPr>
      <w:r w:rsidRPr="004A77D7">
        <w:separator/>
      </w:r>
    </w:p>
  </w:endnote>
  <w:endnote w:type="continuationSeparator" w:id="0">
    <w:p w14:paraId="16FC776D" w14:textId="77777777" w:rsidR="009A428D" w:rsidRPr="004A77D7" w:rsidRDefault="009A428D" w:rsidP="004A77D7">
      <w:pPr>
        <w:spacing w:after="0" w:line="240" w:lineRule="auto"/>
      </w:pPr>
      <w:r w:rsidRPr="004A77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1089" w14:textId="77777777" w:rsidR="009A428D" w:rsidRPr="004A77D7" w:rsidRDefault="009A428D" w:rsidP="004A77D7">
      <w:pPr>
        <w:spacing w:after="0" w:line="240" w:lineRule="auto"/>
      </w:pPr>
      <w:r w:rsidRPr="004A77D7">
        <w:separator/>
      </w:r>
    </w:p>
  </w:footnote>
  <w:footnote w:type="continuationSeparator" w:id="0">
    <w:p w14:paraId="096E1742" w14:textId="77777777" w:rsidR="009A428D" w:rsidRPr="004A77D7" w:rsidRDefault="009A428D" w:rsidP="004A77D7">
      <w:pPr>
        <w:spacing w:after="0" w:line="240" w:lineRule="auto"/>
      </w:pPr>
      <w:r w:rsidRPr="004A77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F1F2" w14:textId="075715A8" w:rsidR="004A77D7" w:rsidRPr="004A77D7" w:rsidRDefault="004A77D7" w:rsidP="004A77D7">
    <w:pPr>
      <w:pStyle w:val="Header"/>
      <w:jc w:val="right"/>
      <w:rPr>
        <w:rFonts w:ascii="Garamond" w:hAnsi="Garamond"/>
        <w:b/>
        <w:bCs/>
        <w:i/>
        <w:iCs/>
        <w:sz w:val="24"/>
        <w:szCs w:val="24"/>
      </w:rPr>
    </w:pPr>
    <w:r w:rsidRPr="004A77D7">
      <w:rPr>
        <w:rFonts w:ascii="Garamond" w:hAnsi="Garamond"/>
        <w:b/>
        <w:bCs/>
        <w:i/>
        <w:iCs/>
        <w:sz w:val="24"/>
        <w:szCs w:val="24"/>
      </w:rPr>
      <w:t>- nacrt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9D9"/>
    <w:multiLevelType w:val="hybridMultilevel"/>
    <w:tmpl w:val="3A6243A8"/>
    <w:lvl w:ilvl="0" w:tplc="014C2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E38"/>
    <w:multiLevelType w:val="multilevel"/>
    <w:tmpl w:val="88BC38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A389D"/>
    <w:multiLevelType w:val="multilevel"/>
    <w:tmpl w:val="4AD2B9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15DA1"/>
    <w:multiLevelType w:val="hybridMultilevel"/>
    <w:tmpl w:val="0584F1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701"/>
    <w:multiLevelType w:val="hybridMultilevel"/>
    <w:tmpl w:val="86C225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15257"/>
    <w:multiLevelType w:val="hybridMultilevel"/>
    <w:tmpl w:val="886C1C72"/>
    <w:lvl w:ilvl="0" w:tplc="CD20B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61B0"/>
    <w:multiLevelType w:val="hybridMultilevel"/>
    <w:tmpl w:val="D6BEF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32C1"/>
    <w:multiLevelType w:val="hybridMultilevel"/>
    <w:tmpl w:val="63C8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7288"/>
    <w:multiLevelType w:val="hybridMultilevel"/>
    <w:tmpl w:val="54C22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2D71"/>
    <w:multiLevelType w:val="hybridMultilevel"/>
    <w:tmpl w:val="5F663EE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8EA"/>
    <w:multiLevelType w:val="hybridMultilevel"/>
    <w:tmpl w:val="FD265984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2C993634"/>
    <w:multiLevelType w:val="hybridMultilevel"/>
    <w:tmpl w:val="C5EEB1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AB52FD"/>
    <w:multiLevelType w:val="multilevel"/>
    <w:tmpl w:val="EA86C5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CD767C"/>
    <w:multiLevelType w:val="hybridMultilevel"/>
    <w:tmpl w:val="D8000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62189"/>
    <w:multiLevelType w:val="multilevel"/>
    <w:tmpl w:val="FD74EB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41E1DB1"/>
    <w:multiLevelType w:val="hybridMultilevel"/>
    <w:tmpl w:val="42ECE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4FFB"/>
    <w:multiLevelType w:val="hybridMultilevel"/>
    <w:tmpl w:val="3BF6D7D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97C6B"/>
    <w:multiLevelType w:val="hybridMultilevel"/>
    <w:tmpl w:val="08DC1C68"/>
    <w:lvl w:ilvl="0" w:tplc="48463500">
      <w:start w:val="1"/>
      <w:numFmt w:val="decimal"/>
      <w:lvlText w:val="%1."/>
      <w:lvlJc w:val="left"/>
      <w:pPr>
        <w:ind w:left="71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7205C"/>
    <w:multiLevelType w:val="multilevel"/>
    <w:tmpl w:val="31D40E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051CBF"/>
    <w:multiLevelType w:val="hybridMultilevel"/>
    <w:tmpl w:val="00E24930"/>
    <w:lvl w:ilvl="0" w:tplc="D2CC60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F7B36"/>
    <w:multiLevelType w:val="hybridMultilevel"/>
    <w:tmpl w:val="27EE307C"/>
    <w:lvl w:ilvl="0" w:tplc="DD5E130C">
      <w:start w:val="1"/>
      <w:numFmt w:val="decimal"/>
      <w:lvlText w:val="%1."/>
      <w:lvlJc w:val="left"/>
      <w:pPr>
        <w:ind w:left="768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3" w15:restartNumberingAfterBreak="0">
    <w:nsid w:val="6E7B2A7C"/>
    <w:multiLevelType w:val="multilevel"/>
    <w:tmpl w:val="0284F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DD0014"/>
    <w:multiLevelType w:val="hybridMultilevel"/>
    <w:tmpl w:val="520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0F0DF7"/>
    <w:multiLevelType w:val="hybridMultilevel"/>
    <w:tmpl w:val="57109842"/>
    <w:lvl w:ilvl="0" w:tplc="CAE2D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5737">
    <w:abstractNumId w:val="0"/>
  </w:num>
  <w:num w:numId="2" w16cid:durableId="1522889422">
    <w:abstractNumId w:val="23"/>
  </w:num>
  <w:num w:numId="3" w16cid:durableId="1117017805">
    <w:abstractNumId w:val="4"/>
  </w:num>
  <w:num w:numId="4" w16cid:durableId="926614245">
    <w:abstractNumId w:val="19"/>
  </w:num>
  <w:num w:numId="5" w16cid:durableId="617835575">
    <w:abstractNumId w:val="2"/>
  </w:num>
  <w:num w:numId="6" w16cid:durableId="572012185">
    <w:abstractNumId w:val="1"/>
  </w:num>
  <w:num w:numId="7" w16cid:durableId="15232608">
    <w:abstractNumId w:val="13"/>
  </w:num>
  <w:num w:numId="8" w16cid:durableId="570584833">
    <w:abstractNumId w:val="20"/>
  </w:num>
  <w:num w:numId="9" w16cid:durableId="907304194">
    <w:abstractNumId w:val="15"/>
  </w:num>
  <w:num w:numId="10" w16cid:durableId="12124246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328485">
    <w:abstractNumId w:val="11"/>
  </w:num>
  <w:num w:numId="12" w16cid:durableId="9860821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70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5223247">
    <w:abstractNumId w:val="25"/>
  </w:num>
  <w:num w:numId="15" w16cid:durableId="539560957">
    <w:abstractNumId w:val="8"/>
  </w:num>
  <w:num w:numId="16" w16cid:durableId="649748208">
    <w:abstractNumId w:val="7"/>
  </w:num>
  <w:num w:numId="17" w16cid:durableId="713623765">
    <w:abstractNumId w:val="5"/>
  </w:num>
  <w:num w:numId="18" w16cid:durableId="1323699463">
    <w:abstractNumId w:val="3"/>
  </w:num>
  <w:num w:numId="19" w16cid:durableId="1675494214">
    <w:abstractNumId w:val="14"/>
  </w:num>
  <w:num w:numId="20" w16cid:durableId="442919795">
    <w:abstractNumId w:val="9"/>
  </w:num>
  <w:num w:numId="21" w16cid:durableId="1217468573">
    <w:abstractNumId w:val="6"/>
  </w:num>
  <w:num w:numId="22" w16cid:durableId="1728189258">
    <w:abstractNumId w:val="21"/>
  </w:num>
  <w:num w:numId="23" w16cid:durableId="1137186706">
    <w:abstractNumId w:val="17"/>
  </w:num>
  <w:num w:numId="24" w16cid:durableId="1139998954">
    <w:abstractNumId w:val="12"/>
  </w:num>
  <w:num w:numId="25" w16cid:durableId="1549954200">
    <w:abstractNumId w:val="16"/>
  </w:num>
  <w:num w:numId="26" w16cid:durableId="523057222">
    <w:abstractNumId w:val="18"/>
  </w:num>
  <w:num w:numId="27" w16cid:durableId="1030644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43"/>
    <w:rsid w:val="00011C5E"/>
    <w:rsid w:val="00014024"/>
    <w:rsid w:val="000367F8"/>
    <w:rsid w:val="00041DD0"/>
    <w:rsid w:val="0007139F"/>
    <w:rsid w:val="000D0795"/>
    <w:rsid w:val="000D33B1"/>
    <w:rsid w:val="000E2349"/>
    <w:rsid w:val="000F414F"/>
    <w:rsid w:val="00120353"/>
    <w:rsid w:val="00142497"/>
    <w:rsid w:val="00143747"/>
    <w:rsid w:val="0015723A"/>
    <w:rsid w:val="0017406B"/>
    <w:rsid w:val="00180B0F"/>
    <w:rsid w:val="00193CBF"/>
    <w:rsid w:val="001D09AE"/>
    <w:rsid w:val="001D4BF5"/>
    <w:rsid w:val="001D56CC"/>
    <w:rsid w:val="00201B9F"/>
    <w:rsid w:val="00297E86"/>
    <w:rsid w:val="002B503D"/>
    <w:rsid w:val="002C615B"/>
    <w:rsid w:val="00303A03"/>
    <w:rsid w:val="0031704F"/>
    <w:rsid w:val="00325267"/>
    <w:rsid w:val="00331BDA"/>
    <w:rsid w:val="00344F5D"/>
    <w:rsid w:val="0034764A"/>
    <w:rsid w:val="00377437"/>
    <w:rsid w:val="00383978"/>
    <w:rsid w:val="00392BF2"/>
    <w:rsid w:val="003931D2"/>
    <w:rsid w:val="003B1238"/>
    <w:rsid w:val="003C3B70"/>
    <w:rsid w:val="003E1051"/>
    <w:rsid w:val="003F5DEF"/>
    <w:rsid w:val="003F67EB"/>
    <w:rsid w:val="003F68EC"/>
    <w:rsid w:val="00411029"/>
    <w:rsid w:val="00414A0A"/>
    <w:rsid w:val="004156D6"/>
    <w:rsid w:val="00422120"/>
    <w:rsid w:val="0042393F"/>
    <w:rsid w:val="004265E9"/>
    <w:rsid w:val="0046581D"/>
    <w:rsid w:val="00484759"/>
    <w:rsid w:val="00492DB2"/>
    <w:rsid w:val="004A2180"/>
    <w:rsid w:val="004A77D7"/>
    <w:rsid w:val="004B1B88"/>
    <w:rsid w:val="004D582B"/>
    <w:rsid w:val="005053EA"/>
    <w:rsid w:val="005319F5"/>
    <w:rsid w:val="005F2AC4"/>
    <w:rsid w:val="005F4794"/>
    <w:rsid w:val="00603FED"/>
    <w:rsid w:val="0060654F"/>
    <w:rsid w:val="00620BB4"/>
    <w:rsid w:val="006303E7"/>
    <w:rsid w:val="00651D43"/>
    <w:rsid w:val="00652512"/>
    <w:rsid w:val="0065313D"/>
    <w:rsid w:val="00654BAD"/>
    <w:rsid w:val="00656574"/>
    <w:rsid w:val="00673188"/>
    <w:rsid w:val="00674CB8"/>
    <w:rsid w:val="00697136"/>
    <w:rsid w:val="006A78B1"/>
    <w:rsid w:val="006B2E92"/>
    <w:rsid w:val="006E5D46"/>
    <w:rsid w:val="006F2D18"/>
    <w:rsid w:val="00701912"/>
    <w:rsid w:val="00712280"/>
    <w:rsid w:val="00734F81"/>
    <w:rsid w:val="00741875"/>
    <w:rsid w:val="007514BB"/>
    <w:rsid w:val="007552CF"/>
    <w:rsid w:val="00791A44"/>
    <w:rsid w:val="007B4C41"/>
    <w:rsid w:val="007C4E54"/>
    <w:rsid w:val="007F32D4"/>
    <w:rsid w:val="00802E62"/>
    <w:rsid w:val="00827266"/>
    <w:rsid w:val="008B6C5D"/>
    <w:rsid w:val="008E3D45"/>
    <w:rsid w:val="008E5A43"/>
    <w:rsid w:val="009149C0"/>
    <w:rsid w:val="009208D9"/>
    <w:rsid w:val="00926020"/>
    <w:rsid w:val="0092710D"/>
    <w:rsid w:val="0093053F"/>
    <w:rsid w:val="00937CBA"/>
    <w:rsid w:val="00940366"/>
    <w:rsid w:val="00967F3F"/>
    <w:rsid w:val="009A428D"/>
    <w:rsid w:val="009A529C"/>
    <w:rsid w:val="00A06333"/>
    <w:rsid w:val="00A362F6"/>
    <w:rsid w:val="00A752C7"/>
    <w:rsid w:val="00AC1494"/>
    <w:rsid w:val="00AC2E6B"/>
    <w:rsid w:val="00AC6357"/>
    <w:rsid w:val="00AD5DC2"/>
    <w:rsid w:val="00AF0503"/>
    <w:rsid w:val="00B04575"/>
    <w:rsid w:val="00B06F12"/>
    <w:rsid w:val="00B32FCE"/>
    <w:rsid w:val="00B359C9"/>
    <w:rsid w:val="00B77943"/>
    <w:rsid w:val="00B8421C"/>
    <w:rsid w:val="00B86247"/>
    <w:rsid w:val="00B86CE2"/>
    <w:rsid w:val="00B9400A"/>
    <w:rsid w:val="00BA6318"/>
    <w:rsid w:val="00BC4670"/>
    <w:rsid w:val="00BD20C0"/>
    <w:rsid w:val="00C35A91"/>
    <w:rsid w:val="00C71723"/>
    <w:rsid w:val="00C97697"/>
    <w:rsid w:val="00CC036D"/>
    <w:rsid w:val="00D07C05"/>
    <w:rsid w:val="00D1438E"/>
    <w:rsid w:val="00D22866"/>
    <w:rsid w:val="00D33816"/>
    <w:rsid w:val="00D523E7"/>
    <w:rsid w:val="00D6480F"/>
    <w:rsid w:val="00D96373"/>
    <w:rsid w:val="00DD4836"/>
    <w:rsid w:val="00DD4B6E"/>
    <w:rsid w:val="00DD4C2D"/>
    <w:rsid w:val="00DE2944"/>
    <w:rsid w:val="00DF3702"/>
    <w:rsid w:val="00E03B53"/>
    <w:rsid w:val="00EA14CA"/>
    <w:rsid w:val="00EA19F5"/>
    <w:rsid w:val="00EC4B24"/>
    <w:rsid w:val="00F100F9"/>
    <w:rsid w:val="00F3028E"/>
    <w:rsid w:val="00F7301F"/>
    <w:rsid w:val="00FA136F"/>
    <w:rsid w:val="00FA31B9"/>
    <w:rsid w:val="00FC2A84"/>
    <w:rsid w:val="00FC5B4A"/>
    <w:rsid w:val="00FD773F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40CB1"/>
  <w15:chartTrackingRefBased/>
  <w15:docId w15:val="{F21E661E-F9A2-497B-B002-00F2DD9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CE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43"/>
    <w:rPr>
      <w:noProof/>
    </w:rPr>
  </w:style>
  <w:style w:type="paragraph" w:styleId="ListParagraph">
    <w:name w:val="List Paragraph"/>
    <w:basedOn w:val="Normal"/>
    <w:uiPriority w:val="34"/>
    <w:qFormat/>
    <w:rsid w:val="00B77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EF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rsid w:val="00654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1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2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280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80"/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26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A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7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jan.loncaric@omisal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2AB5-326C-44F6-A25F-AD40C60B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Kristijan Lončarić</cp:lastModifiedBy>
  <cp:revision>4</cp:revision>
  <cp:lastPrinted>2025-10-31T07:53:00Z</cp:lastPrinted>
  <dcterms:created xsi:type="dcterms:W3CDTF">2025-10-31T08:01:00Z</dcterms:created>
  <dcterms:modified xsi:type="dcterms:W3CDTF">2025-11-04T13:04:00Z</dcterms:modified>
</cp:coreProperties>
</file>