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D1438E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D1438E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D1438E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D1438E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D1438E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4FF95247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-01/</w:t>
      </w:r>
      <w:r w:rsidR="001A0678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70</w:t>
      </w:r>
    </w:p>
    <w:p w14:paraId="3675657C" w14:textId="05CA54B1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2AD65280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1A0678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22. travnja </w:t>
      </w:r>
      <w:r w:rsidR="009A1C3F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2024.</w:t>
      </w:r>
    </w:p>
    <w:p w14:paraId="67550886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2A471FB4" w14:textId="73203870" w:rsidR="002847E8" w:rsidRDefault="009149C0" w:rsidP="008147CA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Savjetovanje sa zainteresiranom javnošću o Nacrtu odluke </w:t>
      </w:r>
      <w:r w:rsidR="008147CA" w:rsidRPr="008147C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o određiva</w:t>
      </w:r>
      <w:r w:rsidR="008147C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nju jediničnog iznosa zakupnine </w:t>
      </w:r>
      <w:r w:rsidR="008147CA" w:rsidRPr="008147C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za turističko zemljište na </w:t>
      </w:r>
      <w:r w:rsidR="008147C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kojemu su izgrađeni </w:t>
      </w:r>
      <w:r w:rsidR="008147CA" w:rsidRPr="008147C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hoteli i turistička naselja</w:t>
      </w:r>
    </w:p>
    <w:p w14:paraId="3E8A2BF2" w14:textId="77777777" w:rsidR="00E634F3" w:rsidRPr="002847E8" w:rsidRDefault="00E634F3" w:rsidP="00E634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F7095FD" w14:textId="136C16A0" w:rsidR="00E634F3" w:rsidRPr="00E634F3" w:rsidRDefault="002847E8" w:rsidP="00E634F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17. veljače 2024. </w:t>
      </w:r>
      <w:r w:rsidR="00E634F3">
        <w:rPr>
          <w:rFonts w:ascii="Garamond" w:eastAsia="Times New Roman" w:hAnsi="Garamond" w:cs="Times New Roman"/>
          <w:sz w:val="24"/>
          <w:szCs w:val="24"/>
        </w:rPr>
        <w:t xml:space="preserve">godine </w:t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na snagu </w:t>
      </w:r>
      <w:r w:rsidR="00E634F3">
        <w:rPr>
          <w:rFonts w:ascii="Garamond" w:eastAsia="Times New Roman" w:hAnsi="Garamond" w:cs="Times New Roman"/>
          <w:sz w:val="24"/>
          <w:szCs w:val="24"/>
        </w:rPr>
        <w:t>je stupila</w:t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 Uredba o uređenju zakupa na turističkom zemljištu na kojemu su izgrađeni hoteli i turistička nas</w:t>
      </w:r>
      <w:r w:rsidR="00002DC5">
        <w:rPr>
          <w:rFonts w:ascii="Garamond" w:eastAsia="Times New Roman" w:hAnsi="Garamond" w:cs="Times New Roman"/>
          <w:sz w:val="24"/>
          <w:szCs w:val="24"/>
        </w:rPr>
        <w:t>elja („Narodne novine“ broj</w:t>
      </w:r>
      <w:r w:rsidR="00E634F3">
        <w:rPr>
          <w:rFonts w:ascii="Garamond" w:eastAsia="Times New Roman" w:hAnsi="Garamond" w:cs="Times New Roman"/>
          <w:sz w:val="24"/>
          <w:szCs w:val="24"/>
        </w:rPr>
        <w:t xml:space="preserve"> 16/24., dalje u tekstu: Uredba), donesena</w:t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 na temelju Zakon</w:t>
      </w:r>
      <w:r w:rsidR="008147CA">
        <w:rPr>
          <w:rFonts w:ascii="Garamond" w:eastAsia="Times New Roman" w:hAnsi="Garamond" w:cs="Times New Roman"/>
          <w:sz w:val="24"/>
          <w:szCs w:val="24"/>
        </w:rPr>
        <w:t>a</w:t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 o neprocijenjenom građevinskom zemljištu („Narodne novin</w:t>
      </w:r>
      <w:r w:rsidR="008147CA">
        <w:rPr>
          <w:rFonts w:ascii="Garamond" w:eastAsia="Times New Roman" w:hAnsi="Garamond" w:cs="Times New Roman"/>
          <w:sz w:val="24"/>
          <w:szCs w:val="24"/>
        </w:rPr>
        <w:t>e“ broj</w:t>
      </w:r>
      <w:r w:rsidR="00E634F3">
        <w:rPr>
          <w:rFonts w:ascii="Garamond" w:eastAsia="Times New Roman" w:hAnsi="Garamond" w:cs="Times New Roman"/>
          <w:sz w:val="24"/>
          <w:szCs w:val="24"/>
        </w:rPr>
        <w:t xml:space="preserve"> 50/20, dalje u tekstu: Zakon) iz kojih propisa proizlaze</w:t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 prava i dužnosti za jedinice lokalne samouprave (prvenstveno one koje se n</w:t>
      </w:r>
      <w:r w:rsidR="00002DC5">
        <w:rPr>
          <w:rFonts w:ascii="Garamond" w:eastAsia="Times New Roman" w:hAnsi="Garamond" w:cs="Times New Roman"/>
          <w:sz w:val="24"/>
          <w:szCs w:val="24"/>
        </w:rPr>
        <w:t>alaze u priobalnim županijama).</w:t>
      </w:r>
    </w:p>
    <w:p w14:paraId="48C3D118" w14:textId="77777777" w:rsidR="00002DC5" w:rsidRDefault="00002DC5" w:rsidP="00E634F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19CE3278" w14:textId="00A3FEB0" w:rsidR="002847E8" w:rsidRDefault="00002DC5" w:rsidP="00E634F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>Prava i dužnosti  jedinica lokalne samouprave odnose se na neprocijenjeno građevinskom zemljište koje je u vlasništvu jedinica lokalne samouprave, a u sklopu je kompleksa hotela i turističkog naselja. Naime, trgovačka društva (bivša društvena poduzeća) koja su u procesu pretvorbe, odnosno privatizacije, procijenila građevine bez zemljišnih čestica, odnosno koja su procijenila građevine i dio katastarske čestice, a u postupku pretvorbe nije formirana posebna katastarska čestica procijenjenog zemljišta, vlasnici su građevine, zemljišta tlocrtne površine ispod građevine, te kako je primjenjivo i procijenjenog zemljišta koje se dodaje zemljištu tlocrtne površine ispod građevine. Turističko zemljište na kojemu su izgrađeni hoteli i turistička naselja, a nije procijenjeno i uneseno u temeljni kapital trgovačkog društva te koje, pored zemljišta tlocrtne površine ispod građ</w:t>
      </w:r>
      <w:r w:rsidR="00E634F3">
        <w:rPr>
          <w:rFonts w:ascii="Garamond" w:eastAsia="Times New Roman" w:hAnsi="Garamond" w:cs="Times New Roman"/>
          <w:sz w:val="24"/>
          <w:szCs w:val="24"/>
        </w:rPr>
        <w:t>evine i procijenjenog zemljišta</w:t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 služi za redovitu uporabu tih građevina, vlasništvo je jedinice lokalne samouprave. </w:t>
      </w:r>
    </w:p>
    <w:p w14:paraId="2E6E64E1" w14:textId="77777777" w:rsidR="00002DC5" w:rsidRDefault="00002DC5" w:rsidP="00002DC5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61B8B541" w14:textId="72A757DF" w:rsidR="00002DC5" w:rsidRDefault="00002DC5" w:rsidP="00002DC5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E634F3" w:rsidRPr="00E634F3">
        <w:rPr>
          <w:rFonts w:ascii="Garamond" w:eastAsia="Times New Roman" w:hAnsi="Garamond" w:cs="Times New Roman"/>
          <w:sz w:val="24"/>
          <w:szCs w:val="24"/>
        </w:rPr>
        <w:t xml:space="preserve">Na temelju donesene Uredbe ispunjene su pretpostavke </w:t>
      </w:r>
      <w:r>
        <w:rPr>
          <w:rFonts w:ascii="Garamond" w:eastAsia="Times New Roman" w:hAnsi="Garamond" w:cs="Times New Roman"/>
          <w:sz w:val="24"/>
          <w:szCs w:val="24"/>
        </w:rPr>
        <w:t>za naplaćivanje zakupnine za turističko zemljište za:</w:t>
      </w:r>
    </w:p>
    <w:p w14:paraId="7FF90BA6" w14:textId="34ACAE26" w:rsidR="00002DC5" w:rsidRPr="00002DC5" w:rsidRDefault="00002DC5" w:rsidP="00002DC5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002DC5">
        <w:rPr>
          <w:rFonts w:ascii="Garamond" w:eastAsia="Times New Roman" w:hAnsi="Garamond" w:cs="Times New Roman"/>
          <w:sz w:val="24"/>
          <w:szCs w:val="24"/>
        </w:rPr>
        <w:t xml:space="preserve">1) prijelazno razdoblje - zakupnina za period od svibnja 2020. </w:t>
      </w:r>
      <w:r w:rsidR="008147CA">
        <w:rPr>
          <w:rFonts w:ascii="Garamond" w:eastAsia="Times New Roman" w:hAnsi="Garamond" w:cs="Times New Roman"/>
          <w:sz w:val="24"/>
          <w:szCs w:val="24"/>
        </w:rPr>
        <w:t xml:space="preserve">godine </w:t>
      </w:r>
      <w:r w:rsidRPr="00002DC5">
        <w:rPr>
          <w:rFonts w:ascii="Garamond" w:eastAsia="Times New Roman" w:hAnsi="Garamond" w:cs="Times New Roman"/>
          <w:sz w:val="24"/>
          <w:szCs w:val="24"/>
        </w:rPr>
        <w:t>(stupanje na snagu Zakona) do veljače 2024 (stupanje na snagu Uredbe). Za prijelaz</w:t>
      </w:r>
      <w:r>
        <w:rPr>
          <w:rFonts w:ascii="Garamond" w:eastAsia="Times New Roman" w:hAnsi="Garamond" w:cs="Times New Roman"/>
          <w:sz w:val="24"/>
          <w:szCs w:val="24"/>
        </w:rPr>
        <w:t>no razdoblje sklapa se Sporazum.</w:t>
      </w:r>
    </w:p>
    <w:p w14:paraId="77393AD7" w14:textId="5FA1C038" w:rsidR="00E634F3" w:rsidRDefault="00002DC5" w:rsidP="00002DC5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002DC5">
        <w:rPr>
          <w:rFonts w:ascii="Garamond" w:eastAsia="Times New Roman" w:hAnsi="Garamond" w:cs="Times New Roman"/>
          <w:sz w:val="24"/>
          <w:szCs w:val="24"/>
        </w:rPr>
        <w:t xml:space="preserve">2) za budući period od 50 godina - zakupnina </w:t>
      </w:r>
      <w:r>
        <w:rPr>
          <w:rFonts w:ascii="Garamond" w:eastAsia="Times New Roman" w:hAnsi="Garamond" w:cs="Times New Roman"/>
          <w:sz w:val="24"/>
          <w:szCs w:val="24"/>
        </w:rPr>
        <w:t xml:space="preserve">se naplaćuje </w:t>
      </w:r>
      <w:r w:rsidRPr="00002DC5">
        <w:rPr>
          <w:rFonts w:ascii="Garamond" w:eastAsia="Times New Roman" w:hAnsi="Garamond" w:cs="Times New Roman"/>
          <w:sz w:val="24"/>
          <w:szCs w:val="24"/>
        </w:rPr>
        <w:t xml:space="preserve">od ožujka 2024. </w:t>
      </w:r>
      <w:r w:rsidR="008147CA">
        <w:rPr>
          <w:rFonts w:ascii="Garamond" w:eastAsia="Times New Roman" w:hAnsi="Garamond" w:cs="Times New Roman"/>
          <w:sz w:val="24"/>
          <w:szCs w:val="24"/>
        </w:rPr>
        <w:t xml:space="preserve">godine </w:t>
      </w:r>
      <w:r w:rsidRPr="00002DC5">
        <w:rPr>
          <w:rFonts w:ascii="Garamond" w:eastAsia="Times New Roman" w:hAnsi="Garamond" w:cs="Times New Roman"/>
          <w:sz w:val="24"/>
          <w:szCs w:val="24"/>
        </w:rPr>
        <w:t>pa nadalje. Sklapa se ugovor o zakupu.</w:t>
      </w:r>
    </w:p>
    <w:p w14:paraId="18E2F5CF" w14:textId="77777777" w:rsidR="00002DC5" w:rsidRDefault="00002DC5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0DBBF870" w14:textId="5B777300" w:rsidR="00002DC5" w:rsidRDefault="00002DC5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Sukladno članku 6. Uredbe, u</w:t>
      </w:r>
      <w:r w:rsidRPr="00002DC5">
        <w:rPr>
          <w:rFonts w:ascii="Garamond" w:eastAsia="Times New Roman" w:hAnsi="Garamond" w:cs="Times New Roman"/>
          <w:sz w:val="24"/>
          <w:szCs w:val="24"/>
        </w:rPr>
        <w:t xml:space="preserve"> Istarskoj, Primorsko-goranskoj, priobalnom dijelu Ličko-senjske, Zadarskoj, Šibensko-kninskoj, Splitsko-dalmatinskoj i Dubrovačkoj županiji te u Gradu Zagrebu</w:t>
      </w:r>
      <w:r>
        <w:rPr>
          <w:rFonts w:ascii="Garamond" w:eastAsia="Times New Roman" w:hAnsi="Garamond" w:cs="Times New Roman"/>
          <w:sz w:val="24"/>
          <w:szCs w:val="24"/>
        </w:rPr>
        <w:t>,</w:t>
      </w:r>
      <w:r w:rsidRPr="00002DC5">
        <w:rPr>
          <w:rFonts w:ascii="Garamond" w:eastAsia="Times New Roman" w:hAnsi="Garamond" w:cs="Times New Roman"/>
          <w:sz w:val="24"/>
          <w:szCs w:val="24"/>
        </w:rPr>
        <w:t xml:space="preserve"> godišnji iznos zakupnine ne smije biti manji od 1,50 eura, niti veći od 3,00 eura po metru kvadratnom zemljišta na kojem su izgrađeni hoteli ili turistička naselja</w:t>
      </w:r>
      <w:r>
        <w:rPr>
          <w:rFonts w:ascii="Garamond" w:eastAsia="Times New Roman" w:hAnsi="Garamond" w:cs="Times New Roman"/>
          <w:sz w:val="24"/>
          <w:szCs w:val="24"/>
        </w:rPr>
        <w:t>, dok n</w:t>
      </w:r>
      <w:r w:rsidRPr="00002DC5">
        <w:rPr>
          <w:rFonts w:ascii="Garamond" w:eastAsia="Times New Roman" w:hAnsi="Garamond" w:cs="Times New Roman"/>
          <w:sz w:val="24"/>
          <w:szCs w:val="24"/>
        </w:rPr>
        <w:t>ajviši iznos godišnje zakupnine u prijelaznom razdoblju može iznositi 1,70 eura po metru kvadratnom zemljišta na kojem su izgrađen</w:t>
      </w:r>
      <w:r>
        <w:rPr>
          <w:rFonts w:ascii="Garamond" w:eastAsia="Times New Roman" w:hAnsi="Garamond" w:cs="Times New Roman"/>
          <w:sz w:val="24"/>
          <w:szCs w:val="24"/>
        </w:rPr>
        <w:t>i hoteli ili turistička naselja (članak 11. Uredbe).</w:t>
      </w:r>
    </w:p>
    <w:p w14:paraId="1083B646" w14:textId="77777777" w:rsidR="00002DC5" w:rsidRDefault="002847E8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770BB697" w14:textId="60FFDD69" w:rsidR="0065313D" w:rsidRPr="00D1438E" w:rsidRDefault="00002DC5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ab/>
      </w:r>
      <w:r w:rsidR="009149C0" w:rsidRPr="00D1438E">
        <w:rPr>
          <w:rFonts w:ascii="Garamond" w:eastAsia="Times New Roman" w:hAnsi="Garamond" w:cs="Times New Roman"/>
          <w:sz w:val="24"/>
          <w:szCs w:val="24"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26B32894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90BDE6B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9149C0" w:rsidRPr="00D1438E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5C278E46" w14:textId="77777777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86EBF4" w14:textId="7B27B0C5" w:rsidR="0065313D" w:rsidRPr="002847E8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  <w:r w:rsidRPr="003E1051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</w:t>
      </w:r>
      <w:r w:rsidR="001A067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6. svibnja </w:t>
      </w:r>
      <w:r w:rsidR="003E1051" w:rsidRPr="001A067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2024</w:t>
      </w:r>
      <w:r w:rsidR="009149C0" w:rsidRPr="001A067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1A0678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48CE30B8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23E0085" w14:textId="292FE6F3" w:rsidR="00414A0A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D1438E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20F978B" w:rsidR="00AC2E6B" w:rsidRPr="00D1438E" w:rsidRDefault="009149C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D1438E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2D5C9CC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EAB66E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097BD4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8453551" w14:textId="77777777" w:rsidR="004A2180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776E2D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3CA808C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AB270A5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985876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8E96BA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44A10F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4E398AF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65626A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21B4D2E" w14:textId="77777777" w:rsidR="004A2180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E0AAD26" w14:textId="77777777" w:rsidR="00E634F3" w:rsidRDefault="00E634F3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2DDF1CA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91BAC2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CB67F4B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03E196B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961E80E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C100DD2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EEEF59F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051C7C8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C69F02A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72F510C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D4538BC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39E7C69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2178237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AEB490E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F5E6617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37F6F8C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AE73CFA" w14:textId="77777777" w:rsidR="00002DC5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7301D72" w14:textId="77777777" w:rsidR="00002DC5" w:rsidRPr="00D1438E" w:rsidRDefault="00002DC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D463B15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Pr="00D1438E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-nacrt</w:t>
      </w:r>
      <w:r w:rsidR="00D6480F"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D1438E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247A8563" w14:textId="77777777" w:rsidR="00E634F3" w:rsidRPr="00EA671A" w:rsidRDefault="00E634F3" w:rsidP="00E634F3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163400">
        <w:rPr>
          <w:rFonts w:ascii="Garamond" w:eastAsia="Times New Roman" w:hAnsi="Garamond" w:cs="Times New Roman"/>
          <w:noProof w:val="0"/>
          <w:color w:val="000000"/>
          <w:sz w:val="24"/>
          <w:szCs w:val="24"/>
          <w:shd w:val="clear" w:color="auto" w:fill="FFFFFF"/>
          <w:lang w:eastAsia="hr-HR"/>
        </w:rPr>
        <w:t xml:space="preserve">Na temelju članka 10. stavka 2. Zakona o neprocijenjenom građevinskom zemljištu („Narodne </w:t>
      </w: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shd w:val="clear" w:color="auto" w:fill="FFFFFF"/>
          <w:lang w:eastAsia="hr-HR"/>
        </w:rPr>
        <w:t xml:space="preserve">novine“ broj 50/20, dalje u tekstu: Zakon), </w:t>
      </w:r>
      <w:r w:rsidRPr="00163400">
        <w:rPr>
          <w:rFonts w:ascii="Garamond" w:eastAsia="Times New Roman" w:hAnsi="Garamond" w:cs="Times New Roman"/>
          <w:noProof w:val="0"/>
          <w:color w:val="000000"/>
          <w:sz w:val="24"/>
          <w:szCs w:val="24"/>
          <w:shd w:val="clear" w:color="auto" w:fill="FFFFFF"/>
          <w:lang w:eastAsia="hr-HR"/>
        </w:rPr>
        <w:t>članka 6. stavka 2. i 3. Uredbe o uređenju zakupa na turističkom zemljištu na kojemu su izgrađeni hoteli i turistička naselja</w:t>
      </w: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shd w:val="clear" w:color="auto" w:fill="FFFFFF"/>
          <w:lang w:eastAsia="hr-HR"/>
        </w:rPr>
        <w:t xml:space="preserve"> („Narodne novine“ broj 16/24, dalje u tekstu: Uredba)</w:t>
      </w:r>
      <w:r w:rsidRPr="00EA671A">
        <w:rPr>
          <w:rFonts w:ascii="Garamond" w:hAnsi="Garamond" w:cs="Arial"/>
          <w:sz w:val="24"/>
          <w:szCs w:val="24"/>
        </w:rPr>
        <w:t xml:space="preserve"> </w:t>
      </w:r>
      <w:r w:rsidRPr="00EA671A">
        <w:rPr>
          <w:rFonts w:ascii="Garamond" w:eastAsia="Calibri" w:hAnsi="Garamond" w:cs="Times New Roman"/>
          <w:noProof w:val="0"/>
          <w:sz w:val="24"/>
          <w:szCs w:val="24"/>
        </w:rPr>
        <w:t>i članka 33. Statuta Općine Omišalj („Službene novine Primorsko-goranske županije“ broj 5/21), Općin</w:t>
      </w:r>
      <w:r>
        <w:rPr>
          <w:rFonts w:ascii="Garamond" w:eastAsia="Calibri" w:hAnsi="Garamond" w:cs="Times New Roman"/>
          <w:noProof w:val="0"/>
          <w:sz w:val="24"/>
          <w:szCs w:val="24"/>
        </w:rPr>
        <w:t>sko vijeće Općine Omišalj na _</w:t>
      </w:r>
      <w:r w:rsidRPr="00EA671A">
        <w:rPr>
          <w:rFonts w:ascii="Garamond" w:eastAsia="Calibri" w:hAnsi="Garamond" w:cs="Times New Roman"/>
          <w:noProof w:val="0"/>
          <w:sz w:val="24"/>
          <w:szCs w:val="24"/>
        </w:rPr>
        <w:t xml:space="preserve"> s</w:t>
      </w:r>
      <w:r>
        <w:rPr>
          <w:rFonts w:ascii="Garamond" w:eastAsia="Calibri" w:hAnsi="Garamond" w:cs="Times New Roman"/>
          <w:noProof w:val="0"/>
          <w:sz w:val="24"/>
          <w:szCs w:val="24"/>
        </w:rPr>
        <w:t>jednici održanoj ___________2024</w:t>
      </w:r>
      <w:r w:rsidRPr="00EA671A">
        <w:rPr>
          <w:rFonts w:ascii="Garamond" w:eastAsia="Calibri" w:hAnsi="Garamond" w:cs="Times New Roman"/>
          <w:noProof w:val="0"/>
          <w:sz w:val="24"/>
          <w:szCs w:val="24"/>
        </w:rPr>
        <w:t xml:space="preserve">. godine, </w:t>
      </w:r>
      <w:r w:rsidRPr="00EA671A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donijelo je</w:t>
      </w:r>
    </w:p>
    <w:p w14:paraId="0B5BDC64" w14:textId="77777777" w:rsidR="00E634F3" w:rsidRPr="00163400" w:rsidRDefault="00E634F3" w:rsidP="00E634F3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E22AF5C" w14:textId="77777777" w:rsidR="00E634F3" w:rsidRPr="00163400" w:rsidRDefault="00E634F3" w:rsidP="00E634F3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  <w:r w:rsidRPr="00163400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O D L U K U</w:t>
      </w:r>
    </w:p>
    <w:p w14:paraId="73AE3DC0" w14:textId="77777777" w:rsidR="00E634F3" w:rsidRDefault="00E634F3" w:rsidP="00E634F3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  <w:r w:rsidRPr="00163400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o određivanju jediničnog iznosa zakupnine</w:t>
      </w:r>
      <w:r w:rsidRPr="00163400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  <w:t>za turističko zemljište na kojemu su izgrađeni</w:t>
      </w:r>
      <w:r w:rsidRPr="00163400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  <w:t>hoteli i turistička naselja</w:t>
      </w:r>
    </w:p>
    <w:p w14:paraId="7E83ED13" w14:textId="77777777" w:rsidR="00E634F3" w:rsidRDefault="00E634F3" w:rsidP="00E634F3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</w:p>
    <w:p w14:paraId="262AFBB3" w14:textId="77777777" w:rsidR="00E634F3" w:rsidRPr="00163400" w:rsidRDefault="00E634F3" w:rsidP="00E634F3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</w:p>
    <w:p w14:paraId="5A06B700" w14:textId="77777777" w:rsidR="00E634F3" w:rsidRPr="00163400" w:rsidRDefault="00E634F3" w:rsidP="00E634F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  <w:r w:rsidRPr="00163400"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Članak 1.</w:t>
      </w:r>
    </w:p>
    <w:p w14:paraId="4EA764F3" w14:textId="77777777" w:rsidR="00E634F3" w:rsidRPr="00163400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Odlukom </w:t>
      </w:r>
      <w:r w:rsidRPr="00163400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o određiva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nju jediničnog iznosa zakupnine </w:t>
      </w:r>
      <w:r w:rsidRPr="00163400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za turističko zemljište na kojemu su izgrađeni</w:t>
      </w:r>
    </w:p>
    <w:p w14:paraId="06D891FA" w14:textId="581E25B7" w:rsidR="00E634F3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163400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hoteli i turistička naselja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(dalje u tekstu: Odluka) </w:t>
      </w:r>
      <w:r w:rsidRPr="00163400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određuje se jedinični iznos i način plaćanja zakupnine za turističko zemljište na kojemu su izgrađeni hoteli i turistička naselja, a nije procijenjeno i uneseno u temeljni kapital trgovačkog društva i koje, pored zemljišta tlocrtne površine ispod građevine i procijenjenog zemljišta, služi za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redovitu uporabu tih građevina</w:t>
      </w:r>
      <w:r w:rsidRPr="00163400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 te je temeljem </w:t>
      </w:r>
      <w:r w:rsidRPr="00954EE2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Zakona</w:t>
      </w:r>
      <w:r w:rsidR="00002DC5">
        <w:rPr>
          <w:rFonts w:ascii="Garamond" w:eastAsia="Times New Roman" w:hAnsi="Garamond" w:cs="Arial"/>
          <w:noProof w:val="0"/>
          <w:color w:val="FF0000"/>
          <w:sz w:val="24"/>
          <w:szCs w:val="24"/>
          <w:lang w:eastAsia="hr-HR"/>
        </w:rPr>
        <w:t xml:space="preserve"> </w:t>
      </w:r>
      <w:r w:rsidRPr="00163400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vlasništvo jedinice lokalne samouprave.</w:t>
      </w:r>
    </w:p>
    <w:p w14:paraId="3D64D32D" w14:textId="77777777" w:rsidR="00E634F3" w:rsidRPr="00163400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</w:p>
    <w:p w14:paraId="60063764" w14:textId="77777777" w:rsidR="00E634F3" w:rsidRPr="00163400" w:rsidRDefault="00E634F3" w:rsidP="00E634F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  <w:r w:rsidRPr="00163400"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Članak 2.</w:t>
      </w:r>
    </w:p>
    <w:p w14:paraId="6987F38F" w14:textId="77777777" w:rsidR="00E634F3" w:rsidRPr="001A0678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56207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(1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) </w:t>
      </w:r>
      <w:r w:rsidRPr="00562071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 xml:space="preserve">Zakupnina za zemljište iz članka 1. ove Odluke na području općine Omišalj određuje se u godišnjem iznosu od </w:t>
      </w:r>
      <w:r w:rsidRPr="001A0678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3,00 eura po metru kvadratnom zemljišta.</w:t>
      </w:r>
    </w:p>
    <w:p w14:paraId="1F9794EF" w14:textId="77777777" w:rsidR="00E634F3" w:rsidRPr="001A0678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1A0678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(2) Zakupnina iz prethodnog stavka plaća se na temelju računa kojeg mjesečno izdaje Općina Omišalj, u iznosu 1/12 godišnje zakupnine, u roku od 15 dana nakon izdavanja računa.</w:t>
      </w:r>
    </w:p>
    <w:p w14:paraId="15396274" w14:textId="77777777" w:rsidR="00E634F3" w:rsidRPr="001A0678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5582B682" w14:textId="77777777" w:rsidR="00E634F3" w:rsidRPr="001A0678" w:rsidRDefault="00E634F3" w:rsidP="00E634F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1A0678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3.</w:t>
      </w:r>
    </w:p>
    <w:p w14:paraId="12A0862D" w14:textId="77777777" w:rsidR="00E634F3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 w:rsidRPr="001A0678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 xml:space="preserve">Zakupnina za zemljište iz članka 1. ove Odluke, u prijelaznom razdoblju od dana stupanja na snagu Zakona do dana stupanja na snagu Uredbe, određuje se u godišnjem iznosu od 1,70 eura po </w:t>
      </w: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metru kvadratnom zemljišta.</w:t>
      </w:r>
    </w:p>
    <w:p w14:paraId="334823DF" w14:textId="77777777" w:rsidR="00E634F3" w:rsidRPr="00163400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</w:p>
    <w:p w14:paraId="7194EC56" w14:textId="77777777" w:rsidR="00E634F3" w:rsidRPr="00163400" w:rsidRDefault="00E634F3" w:rsidP="00E634F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Članak 4</w:t>
      </w:r>
      <w:r w:rsidRPr="00163400">
        <w:rPr>
          <w:rFonts w:ascii="Garamond" w:eastAsia="Times New Roman" w:hAnsi="Garamond" w:cs="Arial"/>
          <w:b/>
          <w:noProof w:val="0"/>
          <w:color w:val="000000"/>
          <w:sz w:val="24"/>
          <w:szCs w:val="24"/>
          <w:lang w:eastAsia="hr-HR"/>
        </w:rPr>
        <w:t>.</w:t>
      </w:r>
    </w:p>
    <w:p w14:paraId="793BA6A2" w14:textId="77777777" w:rsidR="00E634F3" w:rsidRDefault="00E634F3" w:rsidP="00E634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Ova O</w:t>
      </w:r>
      <w:r w:rsidRPr="00163400">
        <w:rPr>
          <w:rFonts w:ascii="Garamond" w:eastAsia="Times New Roman" w:hAnsi="Garamond" w:cs="Arial"/>
          <w:noProof w:val="0"/>
          <w:color w:val="000000"/>
          <w:sz w:val="24"/>
          <w:szCs w:val="24"/>
          <w:lang w:eastAsia="hr-HR"/>
        </w:rPr>
        <w:t>dluka stupa na snagu osmog dana od dana objave u „Službenim novinama Primorsko-goranske županije“.</w:t>
      </w:r>
    </w:p>
    <w:p w14:paraId="60AF675F" w14:textId="77777777" w:rsidR="002847E8" w:rsidRDefault="002847E8" w:rsidP="002847E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hr-HR"/>
        </w:rPr>
      </w:pPr>
    </w:p>
    <w:p w14:paraId="441DA3AB" w14:textId="77777777" w:rsidR="002847E8" w:rsidRPr="002227A6" w:rsidRDefault="002847E8" w:rsidP="002847E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hr-HR"/>
        </w:rPr>
      </w:pPr>
    </w:p>
    <w:p w14:paraId="401CB023" w14:textId="77777777" w:rsidR="002847E8" w:rsidRPr="00EA671A" w:rsidRDefault="002847E8" w:rsidP="002847E8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A671A">
        <w:rPr>
          <w:rFonts w:ascii="Garamond" w:eastAsia="Calibri" w:hAnsi="Garamond" w:cs="Times New Roman"/>
          <w:b/>
          <w:sz w:val="24"/>
          <w:szCs w:val="24"/>
        </w:rPr>
        <w:t>OPĆINSKO VIJEĆE OPĆINE OMIŠALJ</w:t>
      </w:r>
    </w:p>
    <w:p w14:paraId="279E0077" w14:textId="77777777" w:rsidR="002847E8" w:rsidRPr="00EA671A" w:rsidRDefault="002847E8" w:rsidP="002847E8">
      <w:p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  <w:t xml:space="preserve">            </w:t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  <w:t xml:space="preserve">     Predsjednica</w:t>
      </w:r>
    </w:p>
    <w:p w14:paraId="73848F39" w14:textId="77777777" w:rsidR="002847E8" w:rsidRPr="009E6937" w:rsidRDefault="002847E8" w:rsidP="002847E8">
      <w:pPr>
        <w:rPr>
          <w:rFonts w:ascii="Garamond" w:hAnsi="Garamond"/>
          <w:sz w:val="24"/>
          <w:szCs w:val="24"/>
        </w:rPr>
      </w:pP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</w:r>
      <w:r w:rsidRPr="00EA671A">
        <w:rPr>
          <w:rFonts w:ascii="Garamond" w:eastAsia="Calibri" w:hAnsi="Garamond" w:cs="Times New Roman"/>
          <w:b/>
          <w:sz w:val="24"/>
          <w:szCs w:val="24"/>
        </w:rPr>
        <w:tab/>
        <w:t xml:space="preserve">   Dunja Mihelec</w:t>
      </w:r>
    </w:p>
    <w:p w14:paraId="27A111BE" w14:textId="17D55F09" w:rsidR="00FA136F" w:rsidRPr="00D1438E" w:rsidRDefault="00FA136F" w:rsidP="0092710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A136F" w:rsidRPr="00D1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02DC5"/>
    <w:rsid w:val="00014024"/>
    <w:rsid w:val="00041DD0"/>
    <w:rsid w:val="0007139F"/>
    <w:rsid w:val="000D0795"/>
    <w:rsid w:val="000D33B1"/>
    <w:rsid w:val="000E2349"/>
    <w:rsid w:val="00143747"/>
    <w:rsid w:val="0015723A"/>
    <w:rsid w:val="0017406B"/>
    <w:rsid w:val="00180B0F"/>
    <w:rsid w:val="001A0678"/>
    <w:rsid w:val="001D09AE"/>
    <w:rsid w:val="00201B9F"/>
    <w:rsid w:val="002847E8"/>
    <w:rsid w:val="002C615B"/>
    <w:rsid w:val="00303A03"/>
    <w:rsid w:val="0031704F"/>
    <w:rsid w:val="00325267"/>
    <w:rsid w:val="00331BDA"/>
    <w:rsid w:val="00344F5D"/>
    <w:rsid w:val="0034764A"/>
    <w:rsid w:val="00377437"/>
    <w:rsid w:val="00383978"/>
    <w:rsid w:val="003931D2"/>
    <w:rsid w:val="003C3B70"/>
    <w:rsid w:val="003E1051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A2180"/>
    <w:rsid w:val="004D582B"/>
    <w:rsid w:val="005319F5"/>
    <w:rsid w:val="0060654F"/>
    <w:rsid w:val="00620BB4"/>
    <w:rsid w:val="006303E7"/>
    <w:rsid w:val="00651D43"/>
    <w:rsid w:val="0065313D"/>
    <w:rsid w:val="00654BAD"/>
    <w:rsid w:val="00673188"/>
    <w:rsid w:val="00674CB8"/>
    <w:rsid w:val="00697136"/>
    <w:rsid w:val="006E5D46"/>
    <w:rsid w:val="00701912"/>
    <w:rsid w:val="00734F81"/>
    <w:rsid w:val="007514BB"/>
    <w:rsid w:val="007552CF"/>
    <w:rsid w:val="007C4E54"/>
    <w:rsid w:val="008147CA"/>
    <w:rsid w:val="008E3D45"/>
    <w:rsid w:val="008E5A43"/>
    <w:rsid w:val="009149C0"/>
    <w:rsid w:val="00926020"/>
    <w:rsid w:val="0092710D"/>
    <w:rsid w:val="00937CBA"/>
    <w:rsid w:val="00940366"/>
    <w:rsid w:val="009A1C3F"/>
    <w:rsid w:val="00A06333"/>
    <w:rsid w:val="00A362F6"/>
    <w:rsid w:val="00AC1494"/>
    <w:rsid w:val="00AC2E6B"/>
    <w:rsid w:val="00AC6357"/>
    <w:rsid w:val="00AD5DC2"/>
    <w:rsid w:val="00B04575"/>
    <w:rsid w:val="00B32FCE"/>
    <w:rsid w:val="00B359C9"/>
    <w:rsid w:val="00B77943"/>
    <w:rsid w:val="00B86247"/>
    <w:rsid w:val="00B9400A"/>
    <w:rsid w:val="00BA6318"/>
    <w:rsid w:val="00BD20C0"/>
    <w:rsid w:val="00C97697"/>
    <w:rsid w:val="00CC036D"/>
    <w:rsid w:val="00D07C05"/>
    <w:rsid w:val="00D1438E"/>
    <w:rsid w:val="00D6480F"/>
    <w:rsid w:val="00D96373"/>
    <w:rsid w:val="00DD4B6E"/>
    <w:rsid w:val="00DD4C2D"/>
    <w:rsid w:val="00DE2944"/>
    <w:rsid w:val="00E03B53"/>
    <w:rsid w:val="00E634F3"/>
    <w:rsid w:val="00EA14CA"/>
    <w:rsid w:val="00EA19F5"/>
    <w:rsid w:val="00EC4B24"/>
    <w:rsid w:val="00F100F9"/>
    <w:rsid w:val="00F3028E"/>
    <w:rsid w:val="00F7301F"/>
    <w:rsid w:val="00FA136F"/>
    <w:rsid w:val="00FA31B9"/>
    <w:rsid w:val="00FC2A84"/>
    <w:rsid w:val="00FC5B4A"/>
    <w:rsid w:val="00FD773F"/>
    <w:rsid w:val="00FE021B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17FC-1965-47D7-B02B-BF128119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2024-04-18T06:38:00Z</cp:lastPrinted>
  <dcterms:created xsi:type="dcterms:W3CDTF">2024-04-18T06:38:00Z</dcterms:created>
  <dcterms:modified xsi:type="dcterms:W3CDTF">2024-04-22T08:57:00Z</dcterms:modified>
</cp:coreProperties>
</file>