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631"/>
        <w:tblOverlap w:val="never"/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7A6C3A" w:rsidRPr="00812E71" w14:paraId="0139448A" w14:textId="77777777" w:rsidTr="003502B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3DB7" w14:textId="77777777" w:rsidR="007A6C3A" w:rsidRPr="00812E71" w:rsidRDefault="007A6C3A" w:rsidP="00D04859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0C983B22" wp14:editId="47213548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3A" w:rsidRPr="00812E71" w14:paraId="4C26EE7E" w14:textId="77777777" w:rsidTr="003502B5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184F" w14:textId="77777777" w:rsidR="007A6C3A" w:rsidRPr="00812E71" w:rsidRDefault="007A6C3A" w:rsidP="00D04859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643C4EB0" w14:textId="77777777" w:rsidR="007A6C3A" w:rsidRPr="00812E71" w:rsidRDefault="007A6C3A" w:rsidP="00D04859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78A39FEC" w14:textId="77777777" w:rsidR="007A6C3A" w:rsidRPr="00812E71" w:rsidRDefault="007A6C3A" w:rsidP="00D04859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83B0B22" w14:textId="77777777" w:rsidR="007A6C3A" w:rsidRPr="00812E71" w:rsidRDefault="007A6C3A" w:rsidP="00D04859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B4004B1" w14:textId="77777777" w:rsidR="000C22B5" w:rsidRDefault="000C22B5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5783382" w14:textId="77777777" w:rsidR="000C22B5" w:rsidRDefault="000C22B5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084B0BA9" w14:textId="77777777" w:rsidR="000C22B5" w:rsidRDefault="000C22B5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EC16D18" w14:textId="77777777" w:rsidR="000C22B5" w:rsidRDefault="000C22B5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46E6840D" w14:textId="77777777" w:rsidR="000C22B5" w:rsidRDefault="000C22B5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6D9415B5" w14:textId="65FDA5BE" w:rsidR="00AF101E" w:rsidRDefault="00E04D13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AF101E" w:rsidRPr="00AF101E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024-01/26-01/</w:t>
      </w:r>
      <w:r w:rsidR="008545CD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32</w:t>
      </w:r>
    </w:p>
    <w:p w14:paraId="6B576AB3" w14:textId="4392B0C4" w:rsidR="00E04D13" w:rsidRPr="006C6697" w:rsidRDefault="00E04D13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URBROJ: 2170-30-2</w:t>
      </w:r>
      <w:r w:rsidR="00AE3F84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6</w:t>
      </w: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-1</w:t>
      </w:r>
    </w:p>
    <w:p w14:paraId="13A5523C" w14:textId="532A7B8D" w:rsidR="00E04D13" w:rsidRPr="003502B5" w:rsidRDefault="00E04D13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8545CD">
        <w:rPr>
          <w:rFonts w:ascii="Garamond" w:hAnsi="Garamond" w:cs="Times New Roman"/>
          <w:sz w:val="24"/>
          <w:szCs w:val="24"/>
        </w:rPr>
        <w:t>10. travnja</w:t>
      </w:r>
      <w:r w:rsidR="00812E71" w:rsidRPr="003502B5">
        <w:rPr>
          <w:rFonts w:ascii="Garamond" w:hAnsi="Garamond" w:cs="Times New Roman"/>
          <w:sz w:val="24"/>
          <w:szCs w:val="24"/>
        </w:rPr>
        <w:t xml:space="preserve"> </w:t>
      </w:r>
      <w:r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</w:t>
      </w:r>
      <w:r w:rsidR="00AE3F84"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6</w:t>
      </w:r>
      <w:r w:rsidRPr="003502B5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</w:t>
      </w:r>
    </w:p>
    <w:p w14:paraId="48508F5A" w14:textId="77777777" w:rsidR="00E04D13" w:rsidRPr="006C6697" w:rsidRDefault="00E04D13" w:rsidP="00D04859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50F8DF88" w14:textId="74A5ECFA" w:rsidR="00E04D13" w:rsidRDefault="00E04D13" w:rsidP="00D04859">
      <w:pPr>
        <w:spacing w:after="0" w:line="240" w:lineRule="auto"/>
        <w:jc w:val="both"/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Savjetovanje sa zainteresiranom javnošću o Nacrtu </w:t>
      </w:r>
      <w:r w:rsidR="008545CD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Provedbenog plana </w:t>
      </w:r>
      <w:r w:rsidR="008545CD" w:rsidRPr="008545CD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unapređenja zaštite od požara za područje općine Omišalj za 2026.</w:t>
      </w:r>
      <w:r w:rsidR="008545CD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 godinu</w:t>
      </w:r>
    </w:p>
    <w:p w14:paraId="5FBFC86A" w14:textId="77777777" w:rsidR="001871DE" w:rsidRPr="006C6697" w:rsidRDefault="001871DE" w:rsidP="00D04859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  <w:u w:val="single"/>
        </w:rPr>
      </w:pPr>
    </w:p>
    <w:p w14:paraId="40B1FF25" w14:textId="20A86D48" w:rsidR="008545CD" w:rsidRPr="008545CD" w:rsidRDefault="008545CD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Cs/>
          <w:noProof w:val="0"/>
          <w:sz w:val="24"/>
          <w:szCs w:val="24"/>
        </w:rPr>
      </w:pPr>
      <w:r>
        <w:rPr>
          <w:rFonts w:ascii="Garamond" w:eastAsia="Calibri" w:hAnsi="Garamond" w:cs="Times New Roman"/>
          <w:bCs/>
          <w:noProof w:val="0"/>
          <w:sz w:val="24"/>
          <w:szCs w:val="24"/>
        </w:rPr>
        <w:tab/>
      </w:r>
      <w:r w:rsidRPr="008545CD">
        <w:rPr>
          <w:rFonts w:ascii="Garamond" w:eastAsia="Calibri" w:hAnsi="Garamond" w:cs="Times New Roman"/>
          <w:bCs/>
          <w:noProof w:val="0"/>
          <w:sz w:val="24"/>
          <w:szCs w:val="24"/>
        </w:rPr>
        <w:t>Na temelju članka 13. stavka 4. Zakona o zaštiti od požara („Narodne novine“ broj 92/10 i 114/22, dalje u tekstu: Zakon) određeno je da jedinice lokalne i područne (regionalne) samouprave na temelju Procjene ugroženosti od požara donose godišnji provedbeni plan unapređenja zaštite od požara za svoje područje, za čiju provedbu će osigurati financijska sredstva.</w:t>
      </w:r>
    </w:p>
    <w:p w14:paraId="079602E4" w14:textId="77777777" w:rsidR="008545CD" w:rsidRPr="008545CD" w:rsidRDefault="008545CD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Cs/>
          <w:noProof w:val="0"/>
          <w:sz w:val="24"/>
          <w:szCs w:val="24"/>
        </w:rPr>
      </w:pPr>
    </w:p>
    <w:p w14:paraId="2DD8FCA3" w14:textId="1D83AE79" w:rsidR="00E04D13" w:rsidRPr="006C6697" w:rsidRDefault="008545CD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8545CD">
        <w:rPr>
          <w:rFonts w:ascii="Garamond" w:eastAsia="Calibri" w:hAnsi="Garamond" w:cs="Times New Roman"/>
          <w:bCs/>
          <w:noProof w:val="0"/>
          <w:sz w:val="24"/>
          <w:szCs w:val="24"/>
        </w:rPr>
        <w:tab/>
      </w:r>
      <w:r w:rsidRPr="008545CD">
        <w:rPr>
          <w:rFonts w:ascii="Garamond" w:eastAsia="Calibri" w:hAnsi="Garamond" w:cs="Times New Roman"/>
          <w:bCs/>
          <w:noProof w:val="0"/>
          <w:sz w:val="24"/>
          <w:szCs w:val="24"/>
        </w:rPr>
        <w:tab/>
        <w:t>Temeljem članka 11. Zakona o pravu na pristup informacijama („Narodne novine“ broj 25/13, 85/15 i 69/22) jedinice lokalne samouprave dužne su provoditi savjetovanje s javnošću pri donošenju općih akata odnosno drugih strateških ili planskih dokumenata kad se njima utječe na interes građana i pravnih osoba. Na taj se način želi upoznati javnost s predloženim Nacrtom odluke i pribaviti mišljenja, primjedbe i prijedloge zainteresirane javnosti, kako bi predloženo, ukoliko je zakonito i stručno utemeljeno, bilo prihvaćeno od strane donositelja odluke i u konačnosti ugrađeno u odredbe odluke.</w:t>
      </w:r>
      <w:r w:rsidR="00E04D13" w:rsidRPr="006C6697">
        <w:rPr>
          <w:rFonts w:ascii="Garamond" w:eastAsia="Times New Roman" w:hAnsi="Garamond" w:cs="Times New Roman"/>
          <w:sz w:val="24"/>
          <w:szCs w:val="24"/>
        </w:rPr>
        <w:tab/>
      </w:r>
      <w:r w:rsidR="00E04D13" w:rsidRPr="006C6697">
        <w:rPr>
          <w:rFonts w:ascii="Garamond" w:eastAsia="Times New Roman" w:hAnsi="Garamond" w:cs="Times New Roman"/>
          <w:sz w:val="24"/>
          <w:szCs w:val="24"/>
        </w:rPr>
        <w:tab/>
        <w:t xml:space="preserve"> </w:t>
      </w:r>
    </w:p>
    <w:p w14:paraId="7860BD19" w14:textId="77777777" w:rsidR="00E04D13" w:rsidRPr="006C6697" w:rsidRDefault="00E04D13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24357A7" w14:textId="32DC5003" w:rsidR="00E04D13" w:rsidRPr="00812E71" w:rsidRDefault="00E04D13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Svoje prijedloge vezane uz Nacrt </w:t>
      </w:r>
      <w:r w:rsidR="008545CD">
        <w:rPr>
          <w:rFonts w:ascii="Garamond" w:eastAsia="Calibri" w:hAnsi="Garamond" w:cs="Times New Roman"/>
          <w:bCs/>
          <w:noProof w:val="0"/>
          <w:sz w:val="24"/>
          <w:szCs w:val="24"/>
        </w:rPr>
        <w:t>Provedbenog plana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možete podnijeti putem Obrasca za savjetovanje dostupnog na ovoj stranici. Popunjen obrazac šalje se putem e-maila na adresu: </w:t>
      </w:r>
      <w:hyperlink r:id="rId6" w:history="1">
        <w:r w:rsidRPr="00812E71">
          <w:rPr>
            <w:rStyle w:val="Hyperlink"/>
            <w:rFonts w:ascii="Garamond" w:eastAsia="PMingLiU" w:hAnsi="Garamond" w:cs="Times New Roman"/>
            <w:bCs/>
            <w:noProof w:val="0"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812E71">
        <w:rPr>
          <w:rFonts w:ascii="Garamond" w:eastAsia="PMingLiU" w:hAnsi="Garamond" w:cs="Times New Roman"/>
          <w:bCs/>
          <w:noProof w:val="0"/>
          <w:sz w:val="24"/>
          <w:szCs w:val="24"/>
          <w:lang w:eastAsia="zh-TW"/>
        </w:rPr>
        <w:t xml:space="preserve">. </w:t>
      </w:r>
    </w:p>
    <w:p w14:paraId="5C8666FA" w14:textId="77777777" w:rsidR="00E04D13" w:rsidRPr="006C6697" w:rsidRDefault="00E04D13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</w:p>
    <w:p w14:paraId="3F7DE7BC" w14:textId="2D3A07F3" w:rsidR="003E0B5E" w:rsidRDefault="00E04D13" w:rsidP="00D04859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Cs/>
          <w:noProof w:val="0"/>
          <w:sz w:val="24"/>
          <w:szCs w:val="24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Savjetovanje o </w:t>
      </w:r>
      <w:r w:rsidR="005212AA">
        <w:rPr>
          <w:rFonts w:ascii="Garamond" w:eastAsia="Calibri" w:hAnsi="Garamond" w:cs="Times New Roman"/>
          <w:bCs/>
          <w:noProof w:val="0"/>
          <w:sz w:val="24"/>
          <w:szCs w:val="24"/>
        </w:rPr>
        <w:t>N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acrtu </w:t>
      </w:r>
      <w:r w:rsidR="008545CD">
        <w:rPr>
          <w:rFonts w:ascii="Garamond" w:eastAsia="Calibri" w:hAnsi="Garamond" w:cs="Times New Roman"/>
          <w:bCs/>
          <w:noProof w:val="0"/>
          <w:sz w:val="24"/>
          <w:szCs w:val="24"/>
        </w:rPr>
        <w:t>Provedbenog plana</w:t>
      </w:r>
      <w:r w:rsidR="008545CD"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 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>otvoreno je</w:t>
      </w:r>
      <w:r w:rsidRPr="006C66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</w:t>
      </w:r>
      <w:r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do</w:t>
      </w:r>
      <w:r w:rsidR="00693376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</w:t>
      </w:r>
      <w:r w:rsidR="00D04859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10. svibnja</w:t>
      </w:r>
      <w:r w:rsidR="00812E71" w:rsidRPr="003502B5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</w:t>
      </w:r>
      <w:r w:rsidR="00894F4F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6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 godine</w:t>
      </w:r>
      <w:r w:rsidRPr="00693376">
        <w:rPr>
          <w:rFonts w:ascii="Garamond" w:eastAsia="Calibri" w:hAnsi="Garamond" w:cs="Times New Roman"/>
          <w:bCs/>
          <w:noProof w:val="0"/>
          <w:sz w:val="24"/>
          <w:szCs w:val="24"/>
        </w:rPr>
        <w:t>.</w:t>
      </w:r>
    </w:p>
    <w:p w14:paraId="754304CF" w14:textId="77777777" w:rsidR="003E0B5E" w:rsidRDefault="003E0B5E" w:rsidP="00D04859">
      <w:pPr>
        <w:spacing w:after="0" w:line="240" w:lineRule="auto"/>
        <w:rPr>
          <w:rFonts w:ascii="Garamond" w:eastAsia="Calibri" w:hAnsi="Garamond" w:cs="Times New Roman"/>
          <w:bCs/>
          <w:noProof w:val="0"/>
          <w:sz w:val="24"/>
          <w:szCs w:val="24"/>
        </w:rPr>
      </w:pPr>
      <w:r>
        <w:rPr>
          <w:rFonts w:ascii="Garamond" w:eastAsia="Calibri" w:hAnsi="Garamond" w:cs="Times New Roman"/>
          <w:bCs/>
          <w:noProof w:val="0"/>
          <w:sz w:val="24"/>
          <w:szCs w:val="24"/>
        </w:rPr>
        <w:br w:type="page"/>
      </w:r>
    </w:p>
    <w:p w14:paraId="02E59B71" w14:textId="2DAC6792" w:rsidR="003E0B5E" w:rsidRDefault="003E0B5E" w:rsidP="00D04859">
      <w:pPr>
        <w:pStyle w:val="Bezproreda1"/>
        <w:jc w:val="right"/>
        <w:rPr>
          <w:rFonts w:ascii="Garamond" w:hAnsi="Garamond"/>
          <w:sz w:val="24"/>
          <w:szCs w:val="24"/>
        </w:rPr>
      </w:pPr>
      <w:r w:rsidRPr="003E0B5E">
        <w:rPr>
          <w:rFonts w:ascii="Garamond" w:hAnsi="Garamond"/>
          <w:b/>
          <w:bCs/>
          <w:i/>
          <w:iCs/>
          <w:sz w:val="24"/>
          <w:szCs w:val="24"/>
        </w:rPr>
        <w:lastRenderedPageBreak/>
        <w:t xml:space="preserve">- nacrt </w:t>
      </w:r>
      <w:r>
        <w:rPr>
          <w:rFonts w:ascii="Garamond" w:hAnsi="Garamond"/>
          <w:b/>
          <w:bCs/>
          <w:i/>
          <w:iCs/>
          <w:sz w:val="24"/>
          <w:szCs w:val="24"/>
        </w:rPr>
        <w:t>-</w:t>
      </w:r>
    </w:p>
    <w:p w14:paraId="2AD536A7" w14:textId="223C6B1A" w:rsidR="003E0B5E" w:rsidRPr="003E0B5E" w:rsidRDefault="003E0B5E" w:rsidP="00D04859">
      <w:pPr>
        <w:pStyle w:val="Bezproreda1"/>
        <w:jc w:val="right"/>
        <w:rPr>
          <w:rFonts w:ascii="Garamond" w:hAnsi="Garamond"/>
          <w:sz w:val="24"/>
          <w:szCs w:val="24"/>
        </w:rPr>
      </w:pPr>
      <w:r w:rsidRPr="003E0B5E">
        <w:rPr>
          <w:rFonts w:ascii="Garamond" w:hAnsi="Garamond"/>
          <w:sz w:val="24"/>
          <w:szCs w:val="24"/>
        </w:rPr>
        <w:t xml:space="preserve"> </w:t>
      </w:r>
    </w:p>
    <w:p w14:paraId="5CDEB85F" w14:textId="49B7D2B0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Na temelju članka 13. stavka 4. Zakona o zaštiti od požara („Narodne novine“ broj 92/10 i 114/22)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članka 33. Statuta Općine Omišalj („Službene novine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Primorsko-goranske županije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“ broj 5/21), Općinsko vijeće Općine Omišalj na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_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sjednici održanoj ____________ 2026. godine, donijelo je</w:t>
      </w:r>
    </w:p>
    <w:p w14:paraId="675409EC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E0D94C7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A115B4E" w14:textId="77777777" w:rsidR="00D04859" w:rsidRDefault="00D04859" w:rsidP="00D04859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PROVEDBENI PLAN</w:t>
      </w:r>
    </w:p>
    <w:p w14:paraId="56E87DFA" w14:textId="5B7BF345" w:rsidR="00D04859" w:rsidRDefault="00D04859" w:rsidP="00D04859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unapređenja zaštite od požara za područje općine Omišalj za 2026.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 godinu</w:t>
      </w:r>
    </w:p>
    <w:p w14:paraId="597AF32D" w14:textId="77777777" w:rsidR="00D04859" w:rsidRDefault="00D04859" w:rsidP="00D04859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31D6B664" w14:textId="77777777" w:rsidR="00D04859" w:rsidRDefault="00D04859" w:rsidP="00D04859">
      <w:pPr>
        <w:shd w:val="clear" w:color="auto" w:fill="FFFFFF"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3035B3F7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I.</w:t>
      </w:r>
    </w:p>
    <w:p w14:paraId="0229B25D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1745E3E6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 cilju unaprjeđenja i postizanja učinkovitije i efikasnije zaštite od požara na području općine Omišalj donosi se Provedbeni plan unaprjeđenja zaštite od požara za područje općine Omišalj za 2026. godinu (u daljnjem tekstu: Plan).</w:t>
      </w:r>
    </w:p>
    <w:p w14:paraId="1F6384D5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F44A7DF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II.</w:t>
      </w:r>
    </w:p>
    <w:p w14:paraId="2FBB44EC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37E9147E" w14:textId="2E4B7E74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Za unaprjeđenje zaštite od požara na području općine Omišalj potrebno je u 2026.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godini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provesti sljedeće organizacijske, tehničke i urbanističke mjere:</w:t>
      </w:r>
    </w:p>
    <w:p w14:paraId="19E80545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3C3F0A1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1. Na temelju članka 13. Zakona o zaštiti od požara Općina Omišalj kao jedinica lokalne samouprave dužna je uskladiti Procjenu ugroženosti od požara i tehnoloških eksplozija za područje općine Omišalj, kao i Plan zaštite od požara s novonastalim uvjetima za svoje područje.</w:t>
      </w:r>
    </w:p>
    <w:p w14:paraId="3B88B8CA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EF31593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2. U skladu s navedenim dokumentima u točki 1. Općina Omišalj sa sudionicima: Područna vatrogasna zajednica, Javna vatrogasna postrojba Grada Krka te Dobrovoljno vatrogasno društvo Njivice, dužni su kontinuirano osigurati dovoljan broj operativnih vatrogasaca, te voditi računa o organiziranosti i opremljenosti vatrogasnih postrojbi, sukladno važećim propisima.</w:t>
      </w:r>
    </w:p>
    <w:p w14:paraId="568A1761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E8F6E03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3. Na temelju Programa aktivnosti u provedbi posebnih mjera zaštite od požara od interesa za Republiku Hrvatsku u 2026. godini izraditi planske dokumente te provesti potrebne aktivnosti na pripremi požarne sezone u 2026. godini. Planski dokumenti obuhvaćaju: Plan motrenja, čuvanja i ophodnje otvorenog prostora i površina te evidentiranih „divljih“ odlagališta otpada, Plan aktivnog uključivanja svih subjekata zaštite od požara na području općine Omišalj i Plan operativne provedbe Programa aktivnosti u provedbi posebnih mjera zaštite od požara od interesa za Republiku Hrvatsku na području općine Omišalj, čiji izvršitelji su Stožer civilne zaštite Općine Omišalj te općinska načelnica.</w:t>
      </w:r>
    </w:p>
    <w:p w14:paraId="130A97B7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F7C391C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4. Sukladno važećim propisima koji reguliraju zaštitu od požara na otvorenom prostoru  potrebno je urediti okvire ponašanja na otvorenom prostoru, posebice u vrijeme povećane opasnosti od požara. U slučaju nastajanja požara na otvorenom prostoru, pravne osobe čije su građevine ili uređaji locirani u neposrednoj blizini požara dužne su dati na raspolaganje svoju opremu i mehanizaciju za potrebe radova na sprečavanju širenja požara ili za njegovo gašenje.</w:t>
      </w:r>
    </w:p>
    <w:p w14:paraId="5BA7E713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Koristeći sve oblike javnog priopćavanja (radio, TV, tisak, letci i sl.) sustavno i redovito obavještavati i upozoravati stanovništvo na potrebu provođenja preventivnih mjera zaštite od požara. Za učinkovito i uspješno djelovanje vatrogasaca potrebno je u tehničkom smislu osigurati trajno i učinkovito funkcioniranje dojavnih operativnih centara na broj 193 i 112.</w:t>
      </w:r>
    </w:p>
    <w:p w14:paraId="5ECDB0C6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358A023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lastRenderedPageBreak/>
        <w:t>5.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Uništavanje biljnih otpadaka i korova spaljivanjem na poljoprivrednom zemljištu može se obavljati isključivo uz poduzimanje odgovarajućih mjera zaštite od požara propisanih zakonom i propisima donesenim na temelju zakona uz prethodno obavještavanje nadležne vatrogasne postrojbe o namjeri spaljivanja biljnog otpada i korova.</w:t>
      </w:r>
    </w:p>
    <w:p w14:paraId="0A044F8F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Općina Omišalj dužna je kontinuirano ažurirati akte u kojima propisuju potrebne mjere za uređivanje i održavanje poljoprivrednih rudina i provesti ih u dijelu koji se odnosi na zaštitu od požara, sukladno odredbi članka 12. Zakona o poljoprivrednom zemljištu („Narodne novine“ broj 20/18, 115/18, 98/19 i 57/22).</w:t>
      </w:r>
    </w:p>
    <w:p w14:paraId="64D80C14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26CE98E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6. Hrvatske šume d.o.o. i pravne osobe kojima je povjereno gospodarenje šumama dužne su osigurati zaštitu šuma i šumskih zemljišta, te provoditi šumski red, dok šumski red u šumama privatnih šumoposjednika provode privatni šumoposjednici, sukladno članku 44. Zakona o šumama („Narodne novine“ broj 68/18, 115/18, 98/19, 32/20, 145/20, 101/23 i 36/24).</w:t>
      </w:r>
    </w:p>
    <w:p w14:paraId="0748C6CE" w14:textId="213F0488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 dobrovoljnom vatrogasnom društvu osigurati dežurstva i ophodnju u vrijeme povećane opasnosti od požara. Radi sprječavanja nastajanja i suzbijanja požara redovito provoditi šumsko-uzgojne radove, uklanjati lako zapaljivi materijal i uređivati protupožarne putove. Prometnom regulacijom i stalnim kontrolama na terenu osigurati neometan pristup i prolazak vatrogasnih vozila. Kontinuiranim kontrolama od strane Općine Omišalj, Pesje d.o.o., Hrvatskih šuma d.o.o.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-Šumarija Krk i ostalih spriječiti divlje kampiranje i loženje vatre na otvorenom.</w:t>
      </w:r>
    </w:p>
    <w:p w14:paraId="71A4E381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DFF74A0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7. Na temelju Procjena ugroženosti od požara i Plana zaštite od požara Općine Omišalj, potrebno je utvrditi uvjete, ustroj i način korištenja teške građevinske mehanizacije za eventualno žurno probijanje protupožarnih putova radi zaustavljanja širenja šumskog požara. Na području općine Omišalj 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14:paraId="1C29E2E9" w14:textId="7B627A3A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Obvezan je nadzor i skrb nad županijskim i lokalnim cestama te zemljišnim pojasom uz cestu. Zemljišni pojas mora biti čist i pregledan kako zbog sigurnosti prometa tako i zbog sprječavanja nastajanja i širenja požara na njemu. Stoga je obvezno čišćenje zemljišnog pojasa uz cest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e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od zapaljivih tvari, odnosno onih tvari koje bi mogle izazvati požar ili omogućiti odnosno olakšati njegovo širenje.</w:t>
      </w:r>
    </w:p>
    <w:p w14:paraId="157F39AB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DF2D4BF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8. Organizirati informativno-savjetodavne sastanke sa svim sudionicima i obveznicima provođenja zaštite od požara u cilju poduzimanja mjera kako bi se opasnost od nastajanja i širenja požara svela na najmanju moguću mjeru. Posebnu pozornost usmjeriti informiranju stanovništva o uvjetima loženja vatre na otvorenom prostoru tijekom požarne sezone.</w:t>
      </w:r>
    </w:p>
    <w:p w14:paraId="7D188A3A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37D85D88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9. U postupku izrade i donošenja prostorno-planske dokumentacije (prvenstveno provedbene) ovisno o razini prostornih planova obavezno je primijeniti mjere zaštite od požara sukladno važećim propisima.</w:t>
      </w:r>
    </w:p>
    <w:p w14:paraId="7348BA12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2890273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10. Nastaviti s ulaganjima u Dobrovoljno vatrogasno društvo Njivice, posebno za nabavu vozila i tehnike te uređenje vatrogasnih domova sukladno važećim zakonskim propisima. Nadalje, važno je izvršiti i stručni nadzor nad stanjem opremljenosti i osposobljenosti vatrogasnih postrojbi na području otoka Krka od strane izvršitelja: Vatrogasne zajednice Primorsko-goranske županije te Područne vatrogasne zajednice otoka Krka.</w:t>
      </w:r>
    </w:p>
    <w:p w14:paraId="405317BC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D2FB9A9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lastRenderedPageBreak/>
        <w:t xml:space="preserve">11. Organizirati vatrogasna natjecanja djece i mladeži u smislu promidžbe vatrogastva, organizirati sportska natjecanja s ciljem promicanja zdravlja i tjelesne spreme vatrogasaca te izvršiti edukativne akcije u skladu s Planom upoznavanja stanovništva s opasnostima od požara i Programom upoznavanja stanovništva s opasnostima od požara. </w:t>
      </w:r>
    </w:p>
    <w:p w14:paraId="0EE2123F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AF277F8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12. Potrebno je urediti prilaze za vatrogasna vozila i pristupe do površine voda koje svojom izdašnošću udovoljavaju potrebama kod gašenja požara, a u svrhu crpljenja vode za gašenje požara. Za gašenje požara potrebno je osigurati minimalno potrebne količine vode za gašenje požara i tlak u hidrantskoj mreži sukladno važećim propisima te isto kontinuirano održavati.</w:t>
      </w:r>
    </w:p>
    <w:p w14:paraId="43C02F7F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2F11AF8" w14:textId="11E2C585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13. Općina Omišalj dužna je osigurati odgovarajuću dimnjačarsku službu na svom području.</w:t>
      </w:r>
    </w:p>
    <w:p w14:paraId="55971A12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6A46693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III.</w:t>
      </w:r>
    </w:p>
    <w:p w14:paraId="67E86F31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2BFFDE02" w14:textId="135FAE4E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Sredstva za provedbu obveza koje proizlaze iz ovog Provedbenog plana osigurana su u Proračunu Općine Omišalj za 2026.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godinu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</w:t>
      </w:r>
    </w:p>
    <w:p w14:paraId="72C2E745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1F4CCF2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IV.</w:t>
      </w:r>
    </w:p>
    <w:p w14:paraId="42617EFD" w14:textId="77777777" w:rsidR="00D04859" w:rsidRDefault="00D04859" w:rsidP="00D04859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14463396" w14:textId="41464495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Ovaj Plan stupa na snagu osmog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dana od dana objave u „Službenim novinama Primorsko-goranske županije“.</w:t>
      </w:r>
    </w:p>
    <w:p w14:paraId="0C6B543E" w14:textId="77777777" w:rsidR="00D04859" w:rsidRDefault="00D04859" w:rsidP="00D0485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435C3A7" w14:textId="77777777" w:rsidR="00D04859" w:rsidRDefault="00D04859" w:rsidP="00D0485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D9FC66A" w14:textId="77777777" w:rsidR="00D04859" w:rsidRDefault="00D04859" w:rsidP="00D04859">
      <w:pPr>
        <w:spacing w:after="0" w:line="240" w:lineRule="auto"/>
        <w:ind w:left="4248"/>
        <w:jc w:val="center"/>
        <w:rPr>
          <w:rFonts w:ascii="Garamond" w:hAnsi="Garamond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Garamond" w:hAnsi="Garamond" w:cs="Times New Roman"/>
          <w:b/>
          <w:bCs/>
          <w:sz w:val="24"/>
          <w:szCs w:val="24"/>
        </w:rPr>
        <w:t>OPĆINSKO VIJEĆE OPĆINE OMIŠALJ</w:t>
      </w:r>
    </w:p>
    <w:p w14:paraId="758BCE29" w14:textId="77777777" w:rsidR="00D04859" w:rsidRDefault="00D04859" w:rsidP="00D04859">
      <w:pPr>
        <w:spacing w:after="0" w:line="240" w:lineRule="auto"/>
        <w:ind w:left="4248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Predsjednica</w:t>
      </w:r>
    </w:p>
    <w:p w14:paraId="0F70EC44" w14:textId="77777777" w:rsidR="00D04859" w:rsidRDefault="00D04859" w:rsidP="00D04859">
      <w:pPr>
        <w:spacing w:after="0" w:line="240" w:lineRule="auto"/>
        <w:ind w:left="4248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Dunja Mihelec, v.r.</w:t>
      </w:r>
    </w:p>
    <w:p w14:paraId="7A24996F" w14:textId="77777777" w:rsidR="00D04859" w:rsidRDefault="00D04859" w:rsidP="00D0485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2C8EDFF" w14:textId="4ADEFD5B" w:rsidR="003D3BEE" w:rsidRPr="00693376" w:rsidRDefault="003D3BEE" w:rsidP="00D04859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</w:p>
    <w:sectPr w:rsidR="003D3BEE" w:rsidRPr="0069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06C"/>
    <w:multiLevelType w:val="hybridMultilevel"/>
    <w:tmpl w:val="6F78C768"/>
    <w:lvl w:ilvl="0" w:tplc="E2EE5DE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008D"/>
    <w:multiLevelType w:val="hybridMultilevel"/>
    <w:tmpl w:val="DD1057B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4744"/>
    <w:multiLevelType w:val="hybridMultilevel"/>
    <w:tmpl w:val="8FFE9E5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9953AD"/>
    <w:multiLevelType w:val="hybridMultilevel"/>
    <w:tmpl w:val="AF18A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04F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49F"/>
    <w:multiLevelType w:val="hybridMultilevel"/>
    <w:tmpl w:val="0520E8E0"/>
    <w:lvl w:ilvl="0" w:tplc="9F26F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A3CBB"/>
    <w:multiLevelType w:val="hybridMultilevel"/>
    <w:tmpl w:val="EF4252AA"/>
    <w:lvl w:ilvl="0" w:tplc="3B9C2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C6C5C"/>
    <w:multiLevelType w:val="hybridMultilevel"/>
    <w:tmpl w:val="0624D42E"/>
    <w:lvl w:ilvl="0" w:tplc="62C0FCE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55A4"/>
    <w:multiLevelType w:val="hybridMultilevel"/>
    <w:tmpl w:val="940AE144"/>
    <w:lvl w:ilvl="0" w:tplc="B0AC65F4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F7664"/>
    <w:multiLevelType w:val="hybridMultilevel"/>
    <w:tmpl w:val="134E08BA"/>
    <w:lvl w:ilvl="0" w:tplc="7F2E6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C0B73"/>
    <w:multiLevelType w:val="hybridMultilevel"/>
    <w:tmpl w:val="DC822990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9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5"/>
  </w:num>
  <w:num w:numId="3" w16cid:durableId="2072926946">
    <w:abstractNumId w:val="1"/>
  </w:num>
  <w:num w:numId="4" w16cid:durableId="1512404755">
    <w:abstractNumId w:val="9"/>
  </w:num>
  <w:num w:numId="5" w16cid:durableId="1407802150">
    <w:abstractNumId w:val="6"/>
  </w:num>
  <w:num w:numId="6" w16cid:durableId="1584676960">
    <w:abstractNumId w:val="19"/>
  </w:num>
  <w:num w:numId="7" w16cid:durableId="18285674">
    <w:abstractNumId w:val="17"/>
  </w:num>
  <w:num w:numId="8" w16cid:durableId="1684815487">
    <w:abstractNumId w:val="17"/>
  </w:num>
  <w:num w:numId="9" w16cid:durableId="1308123801">
    <w:abstractNumId w:val="20"/>
  </w:num>
  <w:num w:numId="10" w16cid:durableId="1625650133">
    <w:abstractNumId w:val="22"/>
  </w:num>
  <w:num w:numId="11" w16cid:durableId="735007635">
    <w:abstractNumId w:val="18"/>
  </w:num>
  <w:num w:numId="12" w16cid:durableId="708266769">
    <w:abstractNumId w:val="0"/>
  </w:num>
  <w:num w:numId="13" w16cid:durableId="2085182850">
    <w:abstractNumId w:val="4"/>
  </w:num>
  <w:num w:numId="14" w16cid:durableId="659385047">
    <w:abstractNumId w:val="21"/>
  </w:num>
  <w:num w:numId="15" w16cid:durableId="1949240487">
    <w:abstractNumId w:val="3"/>
  </w:num>
  <w:num w:numId="16" w16cid:durableId="2067531937">
    <w:abstractNumId w:val="5"/>
  </w:num>
  <w:num w:numId="17" w16cid:durableId="1322153693">
    <w:abstractNumId w:val="7"/>
  </w:num>
  <w:num w:numId="18" w16cid:durableId="812718250">
    <w:abstractNumId w:val="14"/>
  </w:num>
  <w:num w:numId="19" w16cid:durableId="551893088">
    <w:abstractNumId w:val="23"/>
  </w:num>
  <w:num w:numId="20" w16cid:durableId="707030674">
    <w:abstractNumId w:val="8"/>
  </w:num>
  <w:num w:numId="21" w16cid:durableId="1556894841">
    <w:abstractNumId w:val="2"/>
  </w:num>
  <w:num w:numId="22" w16cid:durableId="1797144239">
    <w:abstractNumId w:val="10"/>
  </w:num>
  <w:num w:numId="23" w16cid:durableId="126288548">
    <w:abstractNumId w:val="11"/>
  </w:num>
  <w:num w:numId="24" w16cid:durableId="1779374320">
    <w:abstractNumId w:val="12"/>
  </w:num>
  <w:num w:numId="25" w16cid:durableId="2004433138">
    <w:abstractNumId w:val="16"/>
  </w:num>
  <w:num w:numId="26" w16cid:durableId="90662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37096"/>
    <w:rsid w:val="000733CC"/>
    <w:rsid w:val="00091537"/>
    <w:rsid w:val="000C22B5"/>
    <w:rsid w:val="00122465"/>
    <w:rsid w:val="0013271E"/>
    <w:rsid w:val="00135805"/>
    <w:rsid w:val="00162E9A"/>
    <w:rsid w:val="001871DE"/>
    <w:rsid w:val="0019623C"/>
    <w:rsid w:val="001A4E3B"/>
    <w:rsid w:val="001E3442"/>
    <w:rsid w:val="002074D5"/>
    <w:rsid w:val="00263351"/>
    <w:rsid w:val="00283B7C"/>
    <w:rsid w:val="002954F8"/>
    <w:rsid w:val="002A1FD8"/>
    <w:rsid w:val="002A5D73"/>
    <w:rsid w:val="0031220D"/>
    <w:rsid w:val="003279A0"/>
    <w:rsid w:val="003502B5"/>
    <w:rsid w:val="00387C95"/>
    <w:rsid w:val="003B4481"/>
    <w:rsid w:val="003D3BEE"/>
    <w:rsid w:val="003E0260"/>
    <w:rsid w:val="003E0B5E"/>
    <w:rsid w:val="00403C37"/>
    <w:rsid w:val="00421F8A"/>
    <w:rsid w:val="00443CE5"/>
    <w:rsid w:val="00483FE3"/>
    <w:rsid w:val="004A528D"/>
    <w:rsid w:val="005212AA"/>
    <w:rsid w:val="00524DD4"/>
    <w:rsid w:val="0053141F"/>
    <w:rsid w:val="00537630"/>
    <w:rsid w:val="0055023D"/>
    <w:rsid w:val="00593CDD"/>
    <w:rsid w:val="00597811"/>
    <w:rsid w:val="005A1C72"/>
    <w:rsid w:val="005D411B"/>
    <w:rsid w:val="005E717D"/>
    <w:rsid w:val="0060177C"/>
    <w:rsid w:val="00640995"/>
    <w:rsid w:val="00693376"/>
    <w:rsid w:val="006A74E1"/>
    <w:rsid w:val="006B2FFD"/>
    <w:rsid w:val="006C6697"/>
    <w:rsid w:val="006E11AE"/>
    <w:rsid w:val="006F283D"/>
    <w:rsid w:val="00722814"/>
    <w:rsid w:val="00742F74"/>
    <w:rsid w:val="007950C5"/>
    <w:rsid w:val="007A667D"/>
    <w:rsid w:val="007A6C3A"/>
    <w:rsid w:val="007D136C"/>
    <w:rsid w:val="00800A24"/>
    <w:rsid w:val="00812E71"/>
    <w:rsid w:val="008329F8"/>
    <w:rsid w:val="00851122"/>
    <w:rsid w:val="008545CD"/>
    <w:rsid w:val="008747AE"/>
    <w:rsid w:val="00894F4F"/>
    <w:rsid w:val="008C017A"/>
    <w:rsid w:val="008D4F78"/>
    <w:rsid w:val="008F645C"/>
    <w:rsid w:val="008F7B83"/>
    <w:rsid w:val="00901BAA"/>
    <w:rsid w:val="00997212"/>
    <w:rsid w:val="009E07F3"/>
    <w:rsid w:val="00A0021F"/>
    <w:rsid w:val="00A14DFE"/>
    <w:rsid w:val="00A60684"/>
    <w:rsid w:val="00A967C9"/>
    <w:rsid w:val="00A97A91"/>
    <w:rsid w:val="00AA26C9"/>
    <w:rsid w:val="00AC0371"/>
    <w:rsid w:val="00AD3148"/>
    <w:rsid w:val="00AE3F84"/>
    <w:rsid w:val="00AF101E"/>
    <w:rsid w:val="00B114E2"/>
    <w:rsid w:val="00B36E51"/>
    <w:rsid w:val="00B37349"/>
    <w:rsid w:val="00B54DED"/>
    <w:rsid w:val="00B71EBA"/>
    <w:rsid w:val="00B827DC"/>
    <w:rsid w:val="00BA2C48"/>
    <w:rsid w:val="00BD2D4E"/>
    <w:rsid w:val="00BE0E32"/>
    <w:rsid w:val="00BF7515"/>
    <w:rsid w:val="00C16C5A"/>
    <w:rsid w:val="00C33F9F"/>
    <w:rsid w:val="00C92A66"/>
    <w:rsid w:val="00C93D30"/>
    <w:rsid w:val="00CA01A1"/>
    <w:rsid w:val="00CE2F1D"/>
    <w:rsid w:val="00D00BA0"/>
    <w:rsid w:val="00D04859"/>
    <w:rsid w:val="00D16625"/>
    <w:rsid w:val="00D325EE"/>
    <w:rsid w:val="00D364EC"/>
    <w:rsid w:val="00D43A91"/>
    <w:rsid w:val="00D50201"/>
    <w:rsid w:val="00D56661"/>
    <w:rsid w:val="00D80622"/>
    <w:rsid w:val="00DC0E84"/>
    <w:rsid w:val="00E04D13"/>
    <w:rsid w:val="00E067CC"/>
    <w:rsid w:val="00E23EA8"/>
    <w:rsid w:val="00E50077"/>
    <w:rsid w:val="00E946AF"/>
    <w:rsid w:val="00E97CA9"/>
    <w:rsid w:val="00EA05EE"/>
    <w:rsid w:val="00EA5FEB"/>
    <w:rsid w:val="00EC477D"/>
    <w:rsid w:val="00F64A85"/>
    <w:rsid w:val="00F967EF"/>
    <w:rsid w:val="00FA3A3B"/>
    <w:rsid w:val="00FC5B4A"/>
    <w:rsid w:val="00FD0AA4"/>
    <w:rsid w:val="00FD1885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  <w:style w:type="paragraph" w:customStyle="1" w:styleId="t-9-8">
    <w:name w:val="t-9-8"/>
    <w:basedOn w:val="Normal"/>
    <w:rsid w:val="003E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Default">
    <w:name w:val="Default"/>
    <w:rsid w:val="003E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Bezproreda1">
    <w:name w:val="Bez proreda1"/>
    <w:uiPriority w:val="1"/>
    <w:qFormat/>
    <w:rsid w:val="003E0B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3E0B5E"/>
    <w:pPr>
      <w:ind w:left="708"/>
    </w:pPr>
    <w:rPr>
      <w:rFonts w:ascii="Calibri" w:eastAsia="Calibri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37</cp:revision>
  <cp:lastPrinted>2025-10-24T07:37:00Z</cp:lastPrinted>
  <dcterms:created xsi:type="dcterms:W3CDTF">2025-01-20T09:20:00Z</dcterms:created>
  <dcterms:modified xsi:type="dcterms:W3CDTF">2026-04-10T11:39:00Z</dcterms:modified>
</cp:coreProperties>
</file>