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5BB8790F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BD20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115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0153087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AC2E6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2. studenog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C83CA3B" w14:textId="77777777" w:rsidR="00BD20C0" w:rsidRPr="00BD20C0" w:rsidRDefault="009149C0" w:rsidP="00BD20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BD20C0" w:rsidRPr="00BD20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</w:t>
      </w:r>
      <w:r w:rsidR="00BD20C0" w:rsidRPr="00BD20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visini novčanih iznosa javnih priznanja Općine Omišalj</w:t>
      </w:r>
    </w:p>
    <w:p w14:paraId="56F2081B" w14:textId="77777777" w:rsidR="00BD20C0" w:rsidRPr="00BD20C0" w:rsidRDefault="00BD20C0" w:rsidP="00BD20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1E2DE960" w14:textId="77777777" w:rsidR="00BD20C0" w:rsidRPr="00BD20C0" w:rsidRDefault="00BD20C0" w:rsidP="00BD20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625EBB20" w14:textId="77777777" w:rsidR="00BD20C0" w:rsidRPr="00BD20C0" w:rsidRDefault="00BD20C0" w:rsidP="00BD20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BD20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ab/>
      </w:r>
      <w:r w:rsidRPr="00BD20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Općina Omišalj Odluku o visini novčanih iznosa za javna priznanja donijela je 2014. godine („Službene novine Primorsko-goranske županije“ broj 10/14) i tom je Odlukom bilo definirano da se dobitniku nagrade za životno djelo dodjeljuje 5.000,00 kuna, odnosno 663,61 eura, a dobitnicima godišnje nagrade po 1.000,00 kuna, odnosno 132,72 eura (primjenom fiksnog tečaja konverzije 1 EUR = 7,53450 HRK). Uvođenjem eura pokazala se potreba za donošenjem nove odluke kojom bi se iznosi nagrada i uvećali.</w:t>
      </w:r>
    </w:p>
    <w:p w14:paraId="673D9DC1" w14:textId="77777777" w:rsidR="00BD20C0" w:rsidRPr="00BD20C0" w:rsidRDefault="00BD20C0" w:rsidP="00BD20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1BFD86E2" w14:textId="589EB69B" w:rsidR="00AC2E6B" w:rsidRPr="00BD20C0" w:rsidRDefault="00BD20C0" w:rsidP="00BD20C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BD20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ab/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Nacrtom</w:t>
      </w:r>
      <w:r w:rsidRPr="00BD20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 odluke utvrđuje se visina novčanih iznosa za godišnje i nagradu za životno djelo Općine Omišalj.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ED97836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5D57567B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34F105C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AC2E6B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1. prosinca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8FD57C8" w14:textId="77777777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52E7F65F" w14:textId="77777777" w:rsidR="009149C0" w:rsidRDefault="009149C0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23E0085" w14:textId="77777777" w:rsidR="00414A0A" w:rsidRDefault="00414A0A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68F4F12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F014F30" w14:textId="77777777" w:rsidR="009149C0" w:rsidRPr="009149C0" w:rsidRDefault="009149C0" w:rsidP="009149C0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2D44D0B5" w14:textId="3033DAF4" w:rsidR="00A06333" w:rsidRDefault="00A06333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7777777" w:rsidR="00AC2E6B" w:rsidRPr="009149C0" w:rsidRDefault="00AC2E6B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69C364C7" w14:textId="77777777" w:rsidR="00BD20C0" w:rsidRPr="0089706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Na temelju članka 23. Odluke o javn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im priznanjima Općine Omišalj („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Službene nov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ine Primorsko-goranske županije“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broj 4/14 i 26/20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, dalje u tekstu: Odluka o javnim priznanjima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) i članka 3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3. Statuta Općine Omišalj („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Službene nov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ine Primorsko-goranske županije“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broj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5/21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), Općinsko vijeće Općine Omišalj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na _ 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sjednici održanoj _________ godine donijelo je</w:t>
      </w:r>
    </w:p>
    <w:p w14:paraId="07FE0575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372400D8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7B411FCE" w14:textId="77777777" w:rsidR="00BD20C0" w:rsidRPr="00504A19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ODLUKU</w:t>
      </w:r>
    </w:p>
    <w:p w14:paraId="0C6E0AAA" w14:textId="77777777" w:rsidR="00BD20C0" w:rsidRPr="00504A19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o visini novčanih iznosa javnih priznanja Općine Omišalj</w:t>
      </w:r>
    </w:p>
    <w:p w14:paraId="749BD3BA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19167AB6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0E6E6094" w14:textId="77777777" w:rsidR="00BD20C0" w:rsidRPr="00504A19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Članak 1.</w:t>
      </w:r>
    </w:p>
    <w:p w14:paraId="3B7BB3AE" w14:textId="77777777" w:rsidR="00BD20C0" w:rsidRPr="008B4B0E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8B4B0E">
        <w:rPr>
          <w:rFonts w:ascii="Garamond" w:eastAsia="SimSun" w:hAnsi="Garamond" w:cs="Arial"/>
          <w:noProof w:val="0"/>
          <w:sz w:val="24"/>
          <w:szCs w:val="24"/>
          <w:lang w:eastAsia="zh-CN"/>
        </w:rPr>
        <w:t>(1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) </w:t>
      </w:r>
      <w:r w:rsidRPr="008B4B0E">
        <w:rPr>
          <w:rFonts w:ascii="Garamond" w:eastAsia="SimSun" w:hAnsi="Garamond" w:cs="Arial"/>
          <w:noProof w:val="0"/>
          <w:sz w:val="24"/>
          <w:szCs w:val="24"/>
          <w:lang w:eastAsia="zh-CN"/>
        </w:rPr>
        <w:t>Ovom Odlukom o visini novčanih iznosa javnih priznanja Općine Omišalj (dalje u tekstu: Odluka) utvrđuje se visina novčanih iznosa javnih priznanja koje dodjeljuje Općina Omišalj.</w:t>
      </w:r>
    </w:p>
    <w:p w14:paraId="13A8F09B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(2)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Riječi i pojmovi koji se koriste u ovoj Odluci, a koji imaju rodno značenje, odnose se jednako na muški i ženski rod, bez obzira u kojem su rodu navedeni.</w:t>
      </w:r>
    </w:p>
    <w:p w14:paraId="53232E58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07B5BD1D" w14:textId="77777777" w:rsidR="00BD20C0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Članak 2.</w:t>
      </w:r>
    </w:p>
    <w:p w14:paraId="6224BE86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Općina Omišalj, sukladno Odluci o javnim priznanjima, dodjeljuje 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nagrade za životno djelo i godišnje nagrade.</w:t>
      </w:r>
    </w:p>
    <w:p w14:paraId="36AE1557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4F756B58" w14:textId="77777777" w:rsidR="00BD20C0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Članak 3.</w:t>
      </w:r>
    </w:p>
    <w:p w14:paraId="66A3E668" w14:textId="77777777" w:rsidR="00BD20C0" w:rsidRPr="008B4B0E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8B4B0E">
        <w:rPr>
          <w:rFonts w:ascii="Garamond" w:eastAsia="SimSun" w:hAnsi="Garamond" w:cs="Arial"/>
          <w:noProof w:val="0"/>
          <w:sz w:val="24"/>
          <w:szCs w:val="24"/>
          <w:lang w:eastAsia="zh-CN"/>
        </w:rPr>
        <w:t>(1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) </w:t>
      </w:r>
      <w:r w:rsidRPr="008B4B0E">
        <w:rPr>
          <w:rFonts w:ascii="Garamond" w:eastAsia="SimSun" w:hAnsi="Garamond" w:cs="Arial"/>
          <w:noProof w:val="0"/>
          <w:sz w:val="24"/>
          <w:szCs w:val="24"/>
          <w:lang w:eastAsia="zh-CN"/>
        </w:rPr>
        <w:t>Visina novčane nagrade Općine Omišalj za životno djelo utvrđuje se u iznosu od 1.000,00 eura.</w:t>
      </w:r>
    </w:p>
    <w:p w14:paraId="38CB2303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(2) 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Visina godišnje novčane nagrade Općine Omišalj utvrđuje se u iznosu od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200,00 eura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.</w:t>
      </w:r>
    </w:p>
    <w:p w14:paraId="640AEDE6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12557928" w14:textId="77777777" w:rsidR="00BD20C0" w:rsidRPr="00504A19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Članak 4.</w:t>
      </w:r>
    </w:p>
    <w:p w14:paraId="7415BCE2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Sredstva za d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odjelu novčanih nagrada iz ove O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dluke osiguravaju se godišnje u Proračunu Općine Omišalj.</w:t>
      </w:r>
    </w:p>
    <w:p w14:paraId="00FC23A4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63EFEFAA" w14:textId="77777777" w:rsidR="00BD20C0" w:rsidRPr="00504A19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Članak </w:t>
      </w:r>
      <w:r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5</w:t>
      </w: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.</w:t>
      </w:r>
    </w:p>
    <w:p w14:paraId="06CA4998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Danom stupanja na snagu ove Odluke prestaje važiti Odluka o visini novčanih iznosa javnih priznanja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(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„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Službene novine Primorsko-goranske županije“ broj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10/14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).</w:t>
      </w:r>
    </w:p>
    <w:p w14:paraId="1975FC53" w14:textId="77777777" w:rsidR="00BD20C0" w:rsidRPr="00504A19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5E5DC727" w14:textId="77777777" w:rsidR="00BD20C0" w:rsidRPr="00504A19" w:rsidRDefault="00BD20C0" w:rsidP="00BD20C0">
      <w:pPr>
        <w:spacing w:after="0" w:line="240" w:lineRule="auto"/>
        <w:jc w:val="center"/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 xml:space="preserve">Članak </w:t>
      </w:r>
      <w:r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6</w:t>
      </w:r>
      <w:r w:rsidRPr="00504A19">
        <w:rPr>
          <w:rFonts w:ascii="Garamond" w:eastAsia="SimSun" w:hAnsi="Garamond" w:cs="Arial"/>
          <w:b/>
          <w:bCs/>
          <w:noProof w:val="0"/>
          <w:sz w:val="24"/>
          <w:szCs w:val="24"/>
          <w:lang w:eastAsia="zh-CN"/>
        </w:rPr>
        <w:t>.</w:t>
      </w:r>
    </w:p>
    <w:p w14:paraId="4EAE1C8D" w14:textId="77777777" w:rsidR="00BD20C0" w:rsidRDefault="00BD20C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Ova Odluka stupa na snag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 osmoga dana od dana objave u „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Službenim novin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ama Primorsko-goranske županije“</w:t>
      </w:r>
      <w:r w:rsidRPr="00504A19">
        <w:rPr>
          <w:rFonts w:ascii="Garamond" w:eastAsia="SimSun" w:hAnsi="Garamond" w:cs="Arial"/>
          <w:noProof w:val="0"/>
          <w:sz w:val="24"/>
          <w:szCs w:val="24"/>
          <w:lang w:eastAsia="zh-CN"/>
        </w:rPr>
        <w:t>.</w:t>
      </w: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6247"/>
    <w:rsid w:val="00BD20C0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AE78-40AD-499A-B79F-A5CF424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2023-10-13T11:23:00Z</cp:lastPrinted>
  <dcterms:created xsi:type="dcterms:W3CDTF">2023-11-02T12:11:00Z</dcterms:created>
  <dcterms:modified xsi:type="dcterms:W3CDTF">2023-11-02T12:11:00Z</dcterms:modified>
</cp:coreProperties>
</file>