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1162FE7B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65313D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124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1DC96564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65313D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17. studenog 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C83CA3B" w14:textId="096C7E25" w:rsidR="00BD20C0" w:rsidRPr="00BD20C0" w:rsidRDefault="009149C0" w:rsidP="001D09AE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1D09AE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izmjenama Odluke o socijalnoj skrbi</w:t>
      </w:r>
    </w:p>
    <w:p w14:paraId="26C96217" w14:textId="3926818D" w:rsidR="001D09A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42C66E66" w14:textId="153F197C" w:rsidR="001D09AE" w:rsidRPr="007A2E49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Općinsko vijeće Općine Omišalj na sjednici održanoj 7. prosinca 2022. godine usvojilo je Odluku o socijalnoj skrbi </w:t>
      </w:r>
      <w:r w:rsidR="00A362F6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 xml:space="preserve">te kasnije izmjene i dopune iste </w:t>
      </w:r>
      <w:r w:rsidR="00A362F6"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(„Službene novine Primorsko-goranske županije“ broj </w:t>
      </w:r>
      <w:r w:rsidR="00A362F6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42/22 i 32/23</w:t>
      </w:r>
      <w:r w:rsidR="00A362F6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)</w:t>
      </w:r>
      <w:r w:rsidR="00A362F6"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.</w:t>
      </w:r>
    </w:p>
    <w:p w14:paraId="261C20AC" w14:textId="77777777" w:rsidR="001D09AE" w:rsidRDefault="001D09AE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14:paraId="44835720" w14:textId="6A485957" w:rsidR="00014024" w:rsidRDefault="00014024" w:rsidP="00014024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="001D09A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Zbog sve većih troškova života s kojima smo suočeni</w:t>
      </w:r>
      <w:r w:rsidR="00AC6357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i sve većeg broj socijalno ugroženih osoba,</w:t>
      </w:r>
      <w:r w:rsidR="001D09A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Općina Omišalj planira </w:t>
      </w:r>
      <w:r w:rsidR="0065313D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povećanje sredstava</w:t>
      </w:r>
      <w:r w:rsidR="001D09A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za korisnike socijalne skrbi Općine Omišalj. Shodno navedenom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,</w:t>
      </w:r>
      <w:r w:rsidR="001D09AE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Nacrtom odluke povećava se uvjet prihoda 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te uvjet prihoda ispunjava korisnik s prihodom kako slijedi:</w:t>
      </w:r>
    </w:p>
    <w:p w14:paraId="61B6E7A7" w14:textId="77777777" w:rsidR="00014024" w:rsidRDefault="00014024" w:rsidP="00014024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- </w:t>
      </w:r>
      <w:r w:rsidR="00AC6357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samac s prihodom do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462,00 eura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(trenutno 38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5,00 eura)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</w:p>
    <w:p w14:paraId="48321300" w14:textId="77777777" w:rsidR="00014024" w:rsidRDefault="00014024" w:rsidP="00014024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-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dvočlano kućanstvo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s prihodom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do 576,00 eura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( trenutno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480,00 eura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</w:t>
      </w:r>
    </w:p>
    <w:p w14:paraId="08FC99B7" w14:textId="6F1D9D39" w:rsidR="00014024" w:rsidRDefault="00014024" w:rsidP="00014024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-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kućanstvo s tri člana 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s prihodom do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7</w:t>
      </w:r>
      <w:r w:rsidR="00AC6357"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74,00 eura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(tre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nutno 645,00 eura)</w:t>
      </w:r>
    </w:p>
    <w:p w14:paraId="6D683355" w14:textId="1E3DBCF9" w:rsidR="00014024" w:rsidRPr="00014024" w:rsidRDefault="00014024" w:rsidP="00014024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- 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kućanstvo s četiri člana 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s prihodom do 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1.032,00 eura</w:t>
      </w:r>
      <w:r w:rsidRPr="00014024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(trenutno 860,00 eura).</w:t>
      </w:r>
    </w:p>
    <w:p w14:paraId="3C9B9A69" w14:textId="4153DB2C" w:rsidR="00AC6357" w:rsidRPr="00014024" w:rsidRDefault="00AC6357" w:rsidP="00AC635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68C0A1C6" w14:textId="32FD4400" w:rsidR="00AC6357" w:rsidRDefault="0065313D" w:rsidP="001D09AE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="00014024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Također, Nacrtom odluke 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za 40</w:t>
      </w:r>
      <w:r w:rsidR="00A362F6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% </w:t>
      </w:r>
      <w:r w:rsidR="00014024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povećava se iznos novčanih bonova za kupnju prehrambenih proizvoda</w:t>
      </w:r>
      <w:r w:rsidR="00A362F6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te prigodnih poklona za blagdane.</w:t>
      </w:r>
    </w:p>
    <w:p w14:paraId="2128A1F2" w14:textId="75C35C2F" w:rsidR="009149C0" w:rsidRPr="009149C0" w:rsidRDefault="009149C0" w:rsidP="00A362F6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70BB697" w14:textId="77777777" w:rsidR="0065313D" w:rsidRDefault="009149C0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26B32894" w14:textId="77777777" w:rsid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90BDE6B" w14:textId="77777777" w:rsid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="009149C0"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5C278E46" w14:textId="77777777" w:rsid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886EBF4" w14:textId="77777777" w:rsid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Pr="0065313D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8</w:t>
      </w:r>
      <w:r w:rsidR="00AC2E6B" w:rsidRPr="0065313D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prosinca</w:t>
      </w:r>
      <w:r w:rsidR="009149C0" w:rsidRPr="0065313D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 2023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48CE30B8" w14:textId="77777777" w:rsid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23E0085" w14:textId="292FE6F3" w:rsidR="00414A0A" w:rsidRPr="0065313D" w:rsidRDefault="0065313D" w:rsidP="0065313D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bookmarkStart w:id="0" w:name="_GoBack"/>
      <w:bookmarkEnd w:id="0"/>
      <w:r w:rsidR="009149C0"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45291C79" w14:textId="720F978B" w:rsidR="00AC2E6B" w:rsidRPr="009149C0" w:rsidRDefault="009149C0" w:rsidP="0065313D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20DBF543" w14:textId="77777777" w:rsidR="001D09AE" w:rsidRPr="007A2E49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Na temelju članka 35. Zakona o lokalnoj i područnoj (regionalnoj) samoupravi ("Narodne novine" broj 33/01, 60/01, 129/05, 109/07, 36/09, 125/08, 36/09, 150/11, 19/13 - službeni pročišćeni tekst, 144/12, 137/15 - službeni pročišćeni tekst, 123/17, 98/19, 144/20), članka 289. stavka 7. Zakona o socijalnoj skrbi („Narodne novine“ broj 18/22, 46/22, 119/22 i 71/23) i članka 33. Statuta Općine Omišalj („Službene novine Primorsko-goranske županije“ broj 5/21), Općins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ko vijeće Općine Omišalj na 12. 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sjednici održanoj _______ 2023. godine, donijelo je</w:t>
      </w:r>
    </w:p>
    <w:p w14:paraId="315CE1BC" w14:textId="77777777" w:rsidR="001D09AE" w:rsidRPr="007A2E49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534CAD55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ODLUKU</w:t>
      </w:r>
    </w:p>
    <w:p w14:paraId="3FA26D05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o izmjenama Odluke o socijalnoj skrbi</w:t>
      </w:r>
    </w:p>
    <w:p w14:paraId="553D3C2C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293A3848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398DE2E5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1.</w:t>
      </w:r>
    </w:p>
    <w:p w14:paraId="134642A3" w14:textId="77777777" w:rsidR="001D09AE" w:rsidRPr="007A2E49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U Odluci o socijalnoj skrbi („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Službene novine Primorsko-goranske županije“ broj 42/22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 i 32/23, dalje u tekstu: Odluka) u članku 9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. </w:t>
      </w: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stavak 1. mijenja se i</w:t>
      </w: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 xml:space="preserve"> glasi:</w:t>
      </w:r>
    </w:p>
    <w:p w14:paraId="097719B8" w14:textId="77777777" w:rsidR="001D09AE" w:rsidRPr="00940FF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7A2E49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„</w:t>
      </w: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Uvjet prihoda ispunjava Korisnik s prihodom kako slijedi:</w:t>
      </w:r>
    </w:p>
    <w:p w14:paraId="39226BA8" w14:textId="77777777" w:rsidR="001D09AE" w:rsidRPr="0042149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- samac do </w:t>
      </w:r>
      <w:r w:rsidRPr="0042149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462,00 eura</w:t>
      </w:r>
    </w:p>
    <w:p w14:paraId="7888CE44" w14:textId="77777777" w:rsidR="001D09AE" w:rsidRPr="0042149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42149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dvočlano kućanstvo do 576,00 eura</w:t>
      </w:r>
    </w:p>
    <w:p w14:paraId="335DF66C" w14:textId="77777777" w:rsidR="001D09AE" w:rsidRPr="0042149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42149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kućanstvo s tri člana 774,00 eura</w:t>
      </w:r>
    </w:p>
    <w:p w14:paraId="36C3607B" w14:textId="77777777" w:rsidR="001D09AE" w:rsidRPr="00940FF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42149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kućanstvo s četiri člana 1.032,00 eura</w:t>
      </w:r>
    </w:p>
    <w:p w14:paraId="005920F6" w14:textId="77777777" w:rsidR="001D09AE" w:rsidRPr="0042149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ako kućanstvo ima više od 4 člana, uvjet prihoda za svakog se člana uvećava za 100,00 eura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Pr="00421498">
        <w:rPr>
          <w:rFonts w:ascii="Garamond" w:eastAsia="Times New Roman" w:hAnsi="Garamond" w:cs="Times New Roman"/>
          <w:sz w:val="24"/>
          <w:szCs w:val="24"/>
          <w:lang w:eastAsia="hr-HR"/>
        </w:rPr>
        <w:t>u odnosu na iznos iz alineje 4. ovog stavka.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“</w:t>
      </w:r>
    </w:p>
    <w:p w14:paraId="76521B69" w14:textId="77777777" w:rsidR="001D09AE" w:rsidRPr="007A2E49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46F28521" w14:textId="77777777" w:rsidR="001D09AE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Članak 2.</w:t>
      </w:r>
    </w:p>
    <w:p w14:paraId="60EA201F" w14:textId="77777777" w:rsidR="001D09AE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U članku 20. stavak 2. Odluke mijenja se i glasi:</w:t>
      </w:r>
    </w:p>
    <w:p w14:paraId="10DF3D00" w14:textId="77777777" w:rsidR="001D09AE" w:rsidRPr="00940FF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„</w:t>
      </w: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Pravo na pomoć za kupnju prehrambenih proizvoda sastoji se u mjesečnom iznosu pomoći u obliku novčanog bona u prodavaonici s kojom Općina ima zaključen ugovor, i to za:</w:t>
      </w:r>
    </w:p>
    <w:p w14:paraId="5F33E684" w14:textId="77777777" w:rsidR="001D09AE" w:rsidRPr="000A170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- samca </w:t>
      </w:r>
      <w:r w:rsidRPr="000A170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45,00 eura</w:t>
      </w:r>
    </w:p>
    <w:p w14:paraId="651F34A9" w14:textId="77777777" w:rsidR="001D09AE" w:rsidRPr="000A1708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0A170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dvočlanu obitelj  56,00 eura</w:t>
      </w:r>
    </w:p>
    <w:p w14:paraId="79342802" w14:textId="77777777" w:rsidR="001D09AE" w:rsidRDefault="001D09AE" w:rsidP="001D09A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0A170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- obitelj sa tri ili više članova 67,00 eura.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“</w:t>
      </w:r>
    </w:p>
    <w:p w14:paraId="60EFD527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6BD11FE4" w14:textId="77777777" w:rsidR="001D09AE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Članak 3.</w:t>
      </w:r>
    </w:p>
    <w:p w14:paraId="50C16F27" w14:textId="77777777" w:rsidR="001D09AE" w:rsidRPr="000A1708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U članku 21. stavku 2. Odluke broj: „40,00“ mijenja se i glasi: „56,00“.</w:t>
      </w:r>
    </w:p>
    <w:p w14:paraId="27D218CA" w14:textId="77777777" w:rsidR="001D09AE" w:rsidRPr="007A2E49" w:rsidRDefault="001D09AE" w:rsidP="001D09A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420DCD42" w14:textId="77777777" w:rsidR="001D09AE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Članak 4.</w:t>
      </w:r>
    </w:p>
    <w:p w14:paraId="26882895" w14:textId="77777777" w:rsidR="001D09AE" w:rsidRPr="000A1708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U članku 41. Odluke broj: “39“ mijenja se i glasi: „40“.</w:t>
      </w:r>
    </w:p>
    <w:p w14:paraId="50899A2B" w14:textId="77777777" w:rsidR="001D09AE" w:rsidRPr="007A2E49" w:rsidRDefault="001D09AE" w:rsidP="001D09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49EC4CBF" w14:textId="77777777" w:rsidR="001D09AE" w:rsidRPr="007A2E49" w:rsidRDefault="001D09AE" w:rsidP="001D09A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7A2E49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 xml:space="preserve">Članak 5. </w:t>
      </w:r>
    </w:p>
    <w:p w14:paraId="277F7A00" w14:textId="77777777" w:rsidR="0065313D" w:rsidRPr="00940FF8" w:rsidRDefault="0065313D" w:rsidP="0065313D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940FF8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Ova Odluka stupa na snagu 1. siječnja 2023. godine, a objavit će se u "Službenim novinama Primorsko-goranske županije“.</w:t>
      </w: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14024"/>
    <w:rsid w:val="0007139F"/>
    <w:rsid w:val="000D0795"/>
    <w:rsid w:val="000D33B1"/>
    <w:rsid w:val="000E2349"/>
    <w:rsid w:val="00143747"/>
    <w:rsid w:val="0015723A"/>
    <w:rsid w:val="0017406B"/>
    <w:rsid w:val="00180B0F"/>
    <w:rsid w:val="001D09AE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319F5"/>
    <w:rsid w:val="0060654F"/>
    <w:rsid w:val="00620BB4"/>
    <w:rsid w:val="006303E7"/>
    <w:rsid w:val="00651D43"/>
    <w:rsid w:val="0065313D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362F6"/>
    <w:rsid w:val="00AC1494"/>
    <w:rsid w:val="00AC2E6B"/>
    <w:rsid w:val="00AC6357"/>
    <w:rsid w:val="00AD5DC2"/>
    <w:rsid w:val="00B04575"/>
    <w:rsid w:val="00B32FCE"/>
    <w:rsid w:val="00B77943"/>
    <w:rsid w:val="00B86247"/>
    <w:rsid w:val="00BD20C0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8D6B-ED7B-48A5-8D62-25D9614F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2023-11-17T08:29:00Z</cp:lastPrinted>
  <dcterms:created xsi:type="dcterms:W3CDTF">2023-11-17T08:38:00Z</dcterms:created>
  <dcterms:modified xsi:type="dcterms:W3CDTF">2023-11-17T08:38:00Z</dcterms:modified>
</cp:coreProperties>
</file>