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781909FF" w14:textId="77777777" w:rsidR="0017375A" w:rsidRPr="00BD655C" w:rsidRDefault="0017375A" w:rsidP="0017375A">
      <w:pPr>
        <w:autoSpaceDE w:val="0"/>
        <w:autoSpaceDN w:val="0"/>
        <w:adjustRightInd w:val="0"/>
        <w:ind w:right="72"/>
        <w:jc w:val="both"/>
        <w:rPr>
          <w:b/>
          <w:bCs/>
          <w:lang w:bidi="ta-IN"/>
        </w:rPr>
      </w:pPr>
      <w:r w:rsidRPr="00BD655C">
        <w:t xml:space="preserve">KLASA: </w:t>
      </w:r>
      <w:r w:rsidRPr="00E81B27">
        <w:rPr>
          <w:iCs/>
        </w:rPr>
        <w:t>024-01/</w:t>
      </w:r>
      <w:r>
        <w:rPr>
          <w:iCs/>
        </w:rPr>
        <w:t>24</w:t>
      </w:r>
      <w:r w:rsidRPr="00E81B27">
        <w:rPr>
          <w:iCs/>
        </w:rPr>
        <w:t>-01/</w:t>
      </w:r>
      <w:r>
        <w:rPr>
          <w:iCs/>
        </w:rPr>
        <w:t>114</w:t>
      </w:r>
    </w:p>
    <w:p w14:paraId="73A16821" w14:textId="6E1F2982" w:rsidR="0017375A" w:rsidRPr="00BD655C" w:rsidRDefault="0017375A" w:rsidP="0017375A">
      <w:pPr>
        <w:tabs>
          <w:tab w:val="center" w:pos="4153"/>
          <w:tab w:val="right" w:pos="8306"/>
        </w:tabs>
        <w:jc w:val="both"/>
        <w:rPr>
          <w:rFonts w:eastAsia="Times New Roman"/>
          <w:lang w:eastAsia="hr-HR"/>
        </w:rPr>
      </w:pPr>
      <w:r w:rsidRPr="00BD655C">
        <w:rPr>
          <w:rFonts w:eastAsia="Times New Roman"/>
          <w:lang w:eastAsia="hr-HR"/>
        </w:rPr>
        <w:t xml:space="preserve">URBROJ: </w:t>
      </w:r>
      <w:r>
        <w:rPr>
          <w:rFonts w:eastAsia="Times New Roman"/>
          <w:iCs/>
          <w:lang w:eastAsia="hr-HR"/>
        </w:rPr>
        <w:t>2170-30-24</w:t>
      </w:r>
      <w:r w:rsidRPr="00BD655C">
        <w:rPr>
          <w:rFonts w:eastAsia="Times New Roman"/>
          <w:iCs/>
          <w:lang w:eastAsia="hr-HR"/>
        </w:rPr>
        <w:t>-</w:t>
      </w:r>
      <w:r>
        <w:rPr>
          <w:rFonts w:eastAsia="Times New Roman"/>
          <w:iCs/>
          <w:lang w:eastAsia="hr-HR"/>
        </w:rPr>
        <w:t>7</w:t>
      </w:r>
    </w:p>
    <w:p w14:paraId="1224BACB" w14:textId="77777777" w:rsidR="0017375A" w:rsidRDefault="0017375A" w:rsidP="0017375A">
      <w:pPr>
        <w:autoSpaceDE w:val="0"/>
        <w:autoSpaceDN w:val="0"/>
        <w:adjustRightInd w:val="0"/>
        <w:jc w:val="both"/>
        <w:rPr>
          <w:rFonts w:eastAsia="Times New Roman"/>
          <w:lang w:eastAsia="hr-HR"/>
        </w:rPr>
      </w:pPr>
      <w:r w:rsidRPr="00BE03A5">
        <w:rPr>
          <w:rFonts w:eastAsia="Times New Roman"/>
          <w:lang w:eastAsia="hr-HR"/>
        </w:rPr>
        <w:t xml:space="preserve">Omišalj, </w:t>
      </w:r>
      <w:r>
        <w:rPr>
          <w:rFonts w:eastAsia="Times New Roman"/>
          <w:lang w:eastAsia="hr-HR"/>
        </w:rPr>
        <w:t>2. listopada 2024</w:t>
      </w:r>
      <w:r w:rsidRPr="00BE03A5">
        <w:rPr>
          <w:rFonts w:eastAsia="Times New Roman"/>
          <w:lang w:eastAsia="hr-HR"/>
        </w:rP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093368C5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17375A" w:rsidRPr="00975861">
        <w:rPr>
          <w:lang w:bidi="ta-IN"/>
        </w:rPr>
        <w:t>Sanacija dijela ceste Križ-Riva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3BA9DFCF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17375A">
        <w:rPr>
          <w:lang w:bidi="ta-IN"/>
        </w:rPr>
        <w:t>49/24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4956807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17375A" w:rsidRPr="00975861">
        <w:rPr>
          <w:lang w:bidi="ta-IN"/>
        </w:rPr>
        <w:t xml:space="preserve">64.000,00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4683F0F2" w:rsidR="00D931F5" w:rsidRDefault="0017375A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42FAC">
        <w:rPr>
          <w:b/>
          <w:bCs/>
          <w:lang w:bidi="ta-IN"/>
        </w:rPr>
        <w:t>G. P. P. MIKIĆ d. o. o., Pušća 131,</w:t>
      </w:r>
      <w:r>
        <w:rPr>
          <w:b/>
          <w:bCs/>
          <w:lang w:bidi="ta-IN"/>
        </w:rPr>
        <w:t xml:space="preserve"> </w:t>
      </w:r>
      <w:r w:rsidRPr="00242FAC">
        <w:rPr>
          <w:b/>
          <w:bCs/>
          <w:lang w:bidi="ta-IN"/>
        </w:rPr>
        <w:t>51513 Omišalj, OIB 82386143355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5161A07D" w:rsidR="00F46D38" w:rsidRPr="00723D0B" w:rsidRDefault="0017375A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17375A">
              <w:rPr>
                <w:b/>
                <w:bCs/>
                <w:lang w:bidi="ta-IN"/>
              </w:rPr>
              <w:t>56.494,74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72063263" w:rsidR="00F46D38" w:rsidRPr="00723D0B" w:rsidRDefault="0017375A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17375A">
              <w:rPr>
                <w:b/>
                <w:bCs/>
                <w:lang w:bidi="ta-IN"/>
              </w:rPr>
              <w:t>14.123,69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4B65B31B" w:rsidR="00F46D38" w:rsidRPr="00723D0B" w:rsidRDefault="0017375A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17375A">
              <w:rPr>
                <w:b/>
                <w:bCs/>
                <w:lang w:bidi="ta-IN"/>
              </w:rPr>
              <w:t>70.618,43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011A903B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17375A" w:rsidRPr="00242FAC">
        <w:rPr>
          <w:b/>
          <w:bCs/>
          <w:lang w:bidi="ta-IN"/>
        </w:rPr>
        <w:t>G. P. P. MIKIĆ d. o. o., Pušća 131,</w:t>
      </w:r>
      <w:r w:rsidR="0017375A">
        <w:rPr>
          <w:b/>
          <w:bCs/>
          <w:lang w:bidi="ta-IN"/>
        </w:rPr>
        <w:t xml:space="preserve"> </w:t>
      </w:r>
      <w:r w:rsidR="0017375A" w:rsidRPr="00242FAC">
        <w:rPr>
          <w:b/>
          <w:bCs/>
          <w:lang w:bidi="ta-IN"/>
        </w:rPr>
        <w:t>51513 Omišalj, OIB 82386143355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4D1A37FD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17375A">
        <w:rPr>
          <w:lang w:bidi="ta-IN"/>
        </w:rPr>
        <w:t xml:space="preserve">Ponuda ponuditelja </w:t>
      </w:r>
      <w:r w:rsidR="0017375A" w:rsidRPr="00201757">
        <w:rPr>
          <w:lang w:bidi="ta-IN"/>
        </w:rPr>
        <w:t>GP KRK d. d., Stjepana Radića 31,</w:t>
      </w:r>
      <w:r w:rsidR="0017375A">
        <w:rPr>
          <w:lang w:bidi="ta-IN"/>
        </w:rPr>
        <w:t xml:space="preserve"> </w:t>
      </w:r>
      <w:r w:rsidR="0017375A" w:rsidRPr="00201757">
        <w:rPr>
          <w:lang w:bidi="ta-IN"/>
        </w:rPr>
        <w:t>51500 Krk, OIB 05146274847</w:t>
      </w:r>
      <w:r w:rsidR="0017375A" w:rsidRPr="00643BE7">
        <w:rPr>
          <w:lang w:bidi="ta-IN"/>
        </w:rPr>
        <w:t xml:space="preserve"> </w:t>
      </w:r>
      <w:r w:rsidR="0017375A">
        <w:rPr>
          <w:lang w:bidi="ta-IN"/>
        </w:rPr>
        <w:t>odbijena je</w:t>
      </w:r>
      <w:r w:rsidR="0017375A" w:rsidRPr="00643BE7">
        <w:rPr>
          <w:lang w:bidi="ta-IN"/>
        </w:rPr>
        <w:t xml:space="preserve"> kao neprihvatljiva iz razloga što ponuđeni iznos prelazi </w:t>
      </w:r>
      <w:r w:rsidR="0017375A">
        <w:rPr>
          <w:lang w:bidi="ta-IN"/>
        </w:rPr>
        <w:t>zakonski prag</w:t>
      </w:r>
      <w:r w:rsidR="0017375A" w:rsidRPr="00643BE7">
        <w:rPr>
          <w:lang w:bidi="ta-IN"/>
        </w:rPr>
        <w:t xml:space="preserve"> za primjenu postupka javne nabave propisan člankom 12. stavkom 1. ZJN 2016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492A011A" w14:textId="77777777" w:rsidR="0017375A" w:rsidRDefault="0017375A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20250F5C" w14:textId="77777777" w:rsidR="0017375A" w:rsidRDefault="0017375A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1C2B1A3E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17375A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7375A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E72E4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2024-10-02T11:53:00Z</cp:lastPrinted>
  <dcterms:created xsi:type="dcterms:W3CDTF">2024-10-02T11:58:00Z</dcterms:created>
  <dcterms:modified xsi:type="dcterms:W3CDTF">2024-10-02T11:58:00Z</dcterms:modified>
</cp:coreProperties>
</file>