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566EF81D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2116A0">
        <w:rPr>
          <w:iCs/>
        </w:rPr>
        <w:t>024</w:t>
      </w:r>
      <w:r w:rsidR="00C03DA0" w:rsidRPr="002116A0">
        <w:rPr>
          <w:iCs/>
        </w:rPr>
        <w:t>-01</w:t>
      </w:r>
      <w:r w:rsidR="003249C3" w:rsidRPr="002116A0">
        <w:rPr>
          <w:iCs/>
        </w:rPr>
        <w:t>/</w:t>
      </w:r>
      <w:r w:rsidR="0014249C" w:rsidRPr="002116A0">
        <w:rPr>
          <w:iCs/>
        </w:rPr>
        <w:t>23</w:t>
      </w:r>
      <w:r w:rsidR="003852A7" w:rsidRPr="002116A0">
        <w:rPr>
          <w:iCs/>
        </w:rPr>
        <w:t>-01/</w:t>
      </w:r>
      <w:r w:rsidR="002116A0">
        <w:rPr>
          <w:iCs/>
        </w:rPr>
        <w:t>12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32E154A9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2116A0">
        <w:rPr>
          <w:iCs/>
          <w:sz w:val="24"/>
          <w:szCs w:val="24"/>
        </w:rPr>
        <w:t>10</w:t>
      </w:r>
    </w:p>
    <w:p w14:paraId="34B374FF" w14:textId="1DC418ED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2116A0">
        <w:t>17.02.2023.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57A556A2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2116A0" w:rsidRPr="00933E14">
        <w:rPr>
          <w:lang w:bidi="ta-IN"/>
        </w:rPr>
        <w:t>Radovi na održavanju horizontalne i vertikalne signalizacije u 2023.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35EEB6A8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2116A0">
        <w:rPr>
          <w:lang w:bidi="ta-IN"/>
        </w:rPr>
        <w:t>15/23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7A0F634E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2116A0" w:rsidRPr="00116262">
        <w:rPr>
          <w:lang w:bidi="ta-IN"/>
        </w:rPr>
        <w:t xml:space="preserve">6.000,00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623EEA87" w:rsidR="00D931F5" w:rsidRDefault="002116A0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50217B">
        <w:rPr>
          <w:b/>
          <w:bCs/>
          <w:lang w:bidi="ta-IN"/>
        </w:rPr>
        <w:t>PISMORAD d.o.o., Industrijska 5, 10431 Sveta Nedjelja, OIB 33260306505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5B5A1B5D" w:rsidR="00F46D38" w:rsidRPr="00723D0B" w:rsidRDefault="002116A0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2116A0">
              <w:rPr>
                <w:b/>
                <w:bCs/>
                <w:lang w:bidi="ta-IN"/>
              </w:rPr>
              <w:t>5.386,00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27D222A0" w:rsidR="00F46D38" w:rsidRPr="00723D0B" w:rsidRDefault="002116A0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2116A0">
              <w:rPr>
                <w:b/>
                <w:bCs/>
                <w:lang w:bidi="ta-IN"/>
              </w:rPr>
              <w:t>1.346,50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34A740A2" w:rsidR="00F46D38" w:rsidRPr="00723D0B" w:rsidRDefault="002116A0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2116A0">
              <w:rPr>
                <w:b/>
                <w:bCs/>
                <w:lang w:bidi="ta-IN"/>
              </w:rPr>
              <w:t>6.732,50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193706A3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2116A0" w:rsidRPr="0050217B">
        <w:rPr>
          <w:b/>
          <w:bCs/>
          <w:lang w:bidi="ta-IN"/>
        </w:rPr>
        <w:t>PISMORAD d.o.o., Industrijska 5, 10431 Sveta Nedjelja, OIB 33260306505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2116A0">
        <w:rPr>
          <w:lang w:bidi="ta-IN"/>
        </w:rPr>
        <w:t>N</w:t>
      </w:r>
      <w:r w:rsidRPr="002116A0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4BFD11D9" w14:textId="7D1A73C5" w:rsidR="002116A0" w:rsidRPr="002116A0" w:rsidRDefault="002116A0" w:rsidP="002116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3C3546">
        <w:rPr>
          <w:lang w:bidi="ta-IN"/>
        </w:rPr>
        <w:t xml:space="preserve">Sukladno točki 7. Poziva na dostavu ponuda, KLASA: </w:t>
      </w:r>
      <w:r w:rsidRPr="00DE61D5">
        <w:rPr>
          <w:lang w:bidi="ta-IN"/>
        </w:rPr>
        <w:t>024-01/23-01/</w:t>
      </w:r>
      <w:r>
        <w:rPr>
          <w:lang w:bidi="ta-IN"/>
        </w:rPr>
        <w:t>12</w:t>
      </w:r>
      <w:r>
        <w:rPr>
          <w:lang w:bidi="ta-IN"/>
        </w:rPr>
        <w:t xml:space="preserve"> </w:t>
      </w:r>
      <w:r w:rsidRPr="003C3546">
        <w:rPr>
          <w:lang w:bidi="ta-IN"/>
        </w:rPr>
        <w:t xml:space="preserve">, URBROJ: </w:t>
      </w:r>
      <w:r>
        <w:rPr>
          <w:lang w:bidi="ta-IN"/>
        </w:rPr>
        <w:t>2170-30-23</w:t>
      </w:r>
      <w:r w:rsidRPr="003C3546">
        <w:rPr>
          <w:lang w:bidi="ta-IN"/>
        </w:rPr>
        <w:t xml:space="preserve">-3 od </w:t>
      </w:r>
      <w:r>
        <w:rPr>
          <w:lang w:bidi="ta-IN"/>
        </w:rPr>
        <w:t>08</w:t>
      </w:r>
      <w:r>
        <w:rPr>
          <w:lang w:bidi="ta-IN"/>
        </w:rPr>
        <w:t>.02.2023</w:t>
      </w:r>
      <w:r w:rsidRPr="003C3546">
        <w:rPr>
          <w:lang w:bidi="ta-IN"/>
        </w:rPr>
        <w:t xml:space="preserve">. godine, </w:t>
      </w:r>
      <w:r w:rsidRPr="003C3546">
        <w:rPr>
          <w:b/>
          <w:bCs/>
          <w:color w:val="000000"/>
        </w:rPr>
        <w:t xml:space="preserve">ponuditelj iz točke 5. ove Obavijesti je </w:t>
      </w:r>
      <w:r w:rsidRPr="003C3546">
        <w:rPr>
          <w:b/>
          <w:bCs/>
        </w:rPr>
        <w:t xml:space="preserve">prije sklapanja </w:t>
      </w:r>
      <w:r>
        <w:rPr>
          <w:b/>
          <w:bCs/>
        </w:rPr>
        <w:t>ugovora</w:t>
      </w:r>
      <w:r w:rsidRPr="003C3546">
        <w:rPr>
          <w:b/>
          <w:bCs/>
        </w:rPr>
        <w:t xml:space="preserve"> dužan dostaviti </w:t>
      </w:r>
      <w:bookmarkStart w:id="1" w:name="_Hlk120709840"/>
      <w:r w:rsidRPr="003C3546">
        <w:rPr>
          <w:b/>
          <w:bCs/>
        </w:rPr>
        <w:t xml:space="preserve">jamstvo za uredno </w:t>
      </w:r>
      <w:bookmarkEnd w:id="1"/>
      <w:r>
        <w:rPr>
          <w:b/>
          <w:bCs/>
        </w:rPr>
        <w:t>ispunjenje ugovora</w:t>
      </w:r>
      <w:r w:rsidRPr="003C3546">
        <w:t xml:space="preserve"> </w:t>
      </w:r>
      <w:r>
        <w:rPr>
          <w:color w:val="000000"/>
        </w:rPr>
        <w:t xml:space="preserve">na način propisan </w:t>
      </w:r>
      <w:r>
        <w:rPr>
          <w:color w:val="000000"/>
        </w:rPr>
        <w:lastRenderedPageBreak/>
        <w:t>točkom 20. spomenutog Poziva</w:t>
      </w:r>
      <w:r w:rsidRPr="003C3546">
        <w:rPr>
          <w:color w:val="000000"/>
        </w:rPr>
        <w:t>.</w:t>
      </w:r>
      <w:r>
        <w:rPr>
          <w:color w:val="000000"/>
        </w:rPr>
        <w:t xml:space="preserve"> Rok za dostavu jamstva za uredno ispunjenje okvirnog sporazuma je </w:t>
      </w:r>
      <w:r w:rsidRPr="003C3546">
        <w:rPr>
          <w:b/>
          <w:bCs/>
          <w:color w:val="000000"/>
        </w:rPr>
        <w:t>15 dana</w:t>
      </w:r>
      <w:r>
        <w:rPr>
          <w:color w:val="000000"/>
        </w:rPr>
        <w:t xml:space="preserve"> od dana slanja ove obavijesti ponuditeljima.</w:t>
      </w:r>
    </w:p>
    <w:p w14:paraId="5FCA6E42" w14:textId="77777777" w:rsidR="002116A0" w:rsidRPr="00DE61D5" w:rsidRDefault="002116A0" w:rsidP="002116A0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430E1F06" w:rsidR="00586E96" w:rsidRDefault="00071F73" w:rsidP="002116A0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405EBAD4" w:rsidR="00586E96" w:rsidRDefault="00586E96" w:rsidP="002116A0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2116A0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72BEBF23" w:rsidR="0070674E" w:rsidRPr="008C123F" w:rsidRDefault="00586E96" w:rsidP="0070674E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4C26BEE" w14:textId="217E3A7F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2116A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116A0"/>
    <w:rsid w:val="00291D52"/>
    <w:rsid w:val="002A0116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2</cp:revision>
  <cp:lastPrinted>2023-02-17T09:14:00Z</cp:lastPrinted>
  <dcterms:created xsi:type="dcterms:W3CDTF">2023-02-17T09:15:00Z</dcterms:created>
  <dcterms:modified xsi:type="dcterms:W3CDTF">2023-02-17T09:15:00Z</dcterms:modified>
</cp:coreProperties>
</file>