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87407D4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113ED3">
        <w:rPr>
          <w:iCs/>
        </w:rPr>
        <w:t>024</w:t>
      </w:r>
      <w:r w:rsidR="00C03DA0" w:rsidRPr="00113ED3">
        <w:rPr>
          <w:iCs/>
        </w:rPr>
        <w:t>-01</w:t>
      </w:r>
      <w:r w:rsidR="003249C3" w:rsidRPr="00113ED3">
        <w:rPr>
          <w:iCs/>
        </w:rPr>
        <w:t>/</w:t>
      </w:r>
      <w:r w:rsidR="00944F98" w:rsidRPr="00113ED3">
        <w:rPr>
          <w:iCs/>
        </w:rPr>
        <w:t>22</w:t>
      </w:r>
      <w:r w:rsidR="003852A7" w:rsidRPr="00113ED3">
        <w:rPr>
          <w:iCs/>
        </w:rPr>
        <w:t>-01/</w:t>
      </w:r>
      <w:r w:rsidR="00113ED3">
        <w:rPr>
          <w:iCs/>
        </w:rPr>
        <w:t>48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99B079A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113ED3">
        <w:rPr>
          <w:iCs/>
          <w:sz w:val="24"/>
          <w:szCs w:val="24"/>
        </w:rPr>
        <w:t>7</w:t>
      </w:r>
    </w:p>
    <w:p w14:paraId="34B374FF" w14:textId="02EC663B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113ED3">
        <w:t>21.09.2022.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04C998B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113ED3" w:rsidRPr="00BA4AA9">
        <w:rPr>
          <w:lang w:bidi="ta-IN"/>
        </w:rPr>
        <w:t>Usluge razglasa i rasvjete za manifestacije u organizaciji Općine Omišalj u 2022.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74AAE7D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113ED3">
        <w:rPr>
          <w:lang w:bidi="ta-IN"/>
        </w:rPr>
        <w:t>37/22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F833E2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113ED3">
        <w:rPr>
          <w:lang w:bidi="ta-IN"/>
        </w:rPr>
        <w:t>32.000,00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06E0DF81" w:rsidR="00D931F5" w:rsidRDefault="00113ED3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560046">
        <w:rPr>
          <w:b/>
          <w:bCs/>
          <w:lang w:bidi="ta-IN"/>
        </w:rPr>
        <w:t xml:space="preserve">S.T.A. SOUND &amp; LIGHT, obrt za </w:t>
      </w:r>
      <w:proofErr w:type="spellStart"/>
      <w:r w:rsidRPr="00560046">
        <w:rPr>
          <w:b/>
          <w:bCs/>
          <w:lang w:bidi="ta-IN"/>
        </w:rPr>
        <w:t>ozvučavanje</w:t>
      </w:r>
      <w:proofErr w:type="spellEnd"/>
      <w:r w:rsidRPr="00560046">
        <w:rPr>
          <w:b/>
          <w:bCs/>
          <w:lang w:bidi="ta-IN"/>
        </w:rPr>
        <w:t xml:space="preserve">, razglasi i rasvjeta, </w:t>
      </w:r>
      <w:proofErr w:type="spellStart"/>
      <w:r w:rsidRPr="00560046">
        <w:rPr>
          <w:b/>
          <w:bCs/>
          <w:lang w:bidi="ta-IN"/>
        </w:rPr>
        <w:t>vl</w:t>
      </w:r>
      <w:proofErr w:type="spellEnd"/>
      <w:r w:rsidRPr="00560046">
        <w:rPr>
          <w:b/>
          <w:bCs/>
          <w:lang w:bidi="ta-IN"/>
        </w:rPr>
        <w:t xml:space="preserve">. Anton </w:t>
      </w:r>
      <w:proofErr w:type="spellStart"/>
      <w:r w:rsidRPr="00560046">
        <w:rPr>
          <w:b/>
          <w:bCs/>
          <w:lang w:bidi="ta-IN"/>
        </w:rPr>
        <w:t>Đunđek</w:t>
      </w:r>
      <w:proofErr w:type="spellEnd"/>
      <w:r w:rsidRPr="00560046">
        <w:rPr>
          <w:b/>
          <w:bCs/>
          <w:lang w:bidi="ta-IN"/>
        </w:rPr>
        <w:t>, Lokvica 8, 51513 Omišalj, OIB 12545334077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56D27B3" w:rsidR="00F46D38" w:rsidRPr="00113ED3" w:rsidRDefault="00113ED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ta-IN"/>
              </w:rPr>
            </w:pPr>
            <w:r w:rsidRPr="00113ED3">
              <w:rPr>
                <w:b/>
                <w:bCs/>
                <w:lang w:bidi="ta-IN"/>
              </w:rPr>
              <w:t>40.000</w:t>
            </w:r>
            <w:r w:rsidR="00E01E25" w:rsidRPr="00113ED3">
              <w:rPr>
                <w:b/>
                <w:bCs/>
                <w:lang w:bidi="ta-IN"/>
              </w:rPr>
              <w:t>,</w:t>
            </w:r>
            <w:r w:rsidR="00C92BEC" w:rsidRPr="00113ED3">
              <w:rPr>
                <w:b/>
                <w:bCs/>
                <w:lang w:bidi="ta-IN"/>
              </w:rPr>
              <w:t>00</w:t>
            </w:r>
            <w:r w:rsidR="00E01E25" w:rsidRPr="00113ED3">
              <w:rPr>
                <w:b/>
                <w:bCs/>
                <w:lang w:bidi="ta-IN"/>
              </w:rPr>
              <w:t xml:space="preserve"> k</w:t>
            </w:r>
            <w:r w:rsidR="00DB5145" w:rsidRPr="00113ED3">
              <w:rPr>
                <w:b/>
                <w:bCs/>
                <w:lang w:bidi="ta-IN"/>
              </w:rPr>
              <w:t>u</w:t>
            </w:r>
            <w:r w:rsidR="00E01E25" w:rsidRPr="00113ED3">
              <w:rPr>
                <w:b/>
                <w:bCs/>
                <w:lang w:bidi="ta-IN"/>
              </w:rPr>
              <w:t>n</w:t>
            </w:r>
            <w:r w:rsidR="00DB5145" w:rsidRPr="00113ED3">
              <w:rPr>
                <w:b/>
                <w:bCs/>
                <w:lang w:bidi="ta-IN"/>
              </w:rPr>
              <w:t>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E57170C" w:rsidR="00F46D38" w:rsidRPr="00113ED3" w:rsidRDefault="00DB514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ta-IN"/>
              </w:rPr>
            </w:pPr>
            <w:r w:rsidRPr="00113ED3">
              <w:rPr>
                <w:b/>
                <w:bCs/>
                <w:lang w:bidi="ta-IN"/>
              </w:rPr>
              <w:t>0</w:t>
            </w:r>
            <w:r w:rsidR="00F23CA3" w:rsidRPr="00113ED3">
              <w:rPr>
                <w:b/>
                <w:bCs/>
                <w:lang w:bidi="ta-IN"/>
              </w:rPr>
              <w:t>,</w:t>
            </w:r>
            <w:r w:rsidRPr="00113ED3">
              <w:rPr>
                <w:b/>
                <w:bCs/>
                <w:lang w:bidi="ta-IN"/>
              </w:rPr>
              <w:t>0</w:t>
            </w:r>
            <w:r w:rsidR="00F23CA3" w:rsidRPr="00113ED3">
              <w:rPr>
                <w:b/>
                <w:bCs/>
                <w:lang w:bidi="ta-IN"/>
              </w:rPr>
              <w:t>0</w:t>
            </w:r>
            <w:r w:rsidR="00F46D38" w:rsidRPr="00113ED3">
              <w:rPr>
                <w:b/>
                <w:bCs/>
                <w:lang w:bidi="ta-IN"/>
              </w:rPr>
              <w:t xml:space="preserve"> k</w:t>
            </w:r>
            <w:r w:rsidRPr="00113ED3">
              <w:rPr>
                <w:b/>
                <w:bCs/>
                <w:lang w:bidi="ta-IN"/>
              </w:rPr>
              <w:t>u</w:t>
            </w:r>
            <w:r w:rsidR="00F46D38" w:rsidRPr="00113ED3">
              <w:rPr>
                <w:b/>
                <w:bCs/>
                <w:lang w:bidi="ta-IN"/>
              </w:rPr>
              <w:t>n</w:t>
            </w:r>
            <w:r w:rsidRPr="00113ED3">
              <w:rPr>
                <w:b/>
                <w:bCs/>
                <w:lang w:bidi="ta-IN"/>
              </w:rPr>
              <w:t>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4AF1483" w:rsidR="00F46D38" w:rsidRPr="00113ED3" w:rsidRDefault="00113ED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ta-IN"/>
              </w:rPr>
            </w:pPr>
            <w:r w:rsidRPr="00113ED3">
              <w:rPr>
                <w:b/>
                <w:bCs/>
                <w:lang w:bidi="ta-IN"/>
              </w:rPr>
              <w:t>40.000</w:t>
            </w:r>
            <w:r w:rsidR="00DB5145" w:rsidRPr="00113ED3">
              <w:rPr>
                <w:b/>
                <w:bCs/>
                <w:lang w:bidi="ta-IN"/>
              </w:rPr>
              <w:t>,00</w:t>
            </w:r>
            <w:r w:rsidR="00E01E25" w:rsidRPr="00113ED3">
              <w:rPr>
                <w:b/>
                <w:bCs/>
                <w:lang w:bidi="ta-IN"/>
              </w:rPr>
              <w:t xml:space="preserve"> k</w:t>
            </w:r>
            <w:r w:rsidR="00DB5145" w:rsidRPr="00113ED3">
              <w:rPr>
                <w:b/>
                <w:bCs/>
                <w:lang w:bidi="ta-IN"/>
              </w:rPr>
              <w:t>u</w:t>
            </w:r>
            <w:r w:rsidR="00E01E25" w:rsidRPr="00113ED3">
              <w:rPr>
                <w:b/>
                <w:bCs/>
                <w:lang w:bidi="ta-IN"/>
              </w:rPr>
              <w:t>n</w:t>
            </w:r>
            <w:r w:rsidR="00DB5145" w:rsidRPr="00113ED3">
              <w:rPr>
                <w:b/>
                <w:bCs/>
                <w:lang w:bidi="ta-IN"/>
              </w:rPr>
              <w:t>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4DC663C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113ED3" w:rsidRPr="00560046">
        <w:rPr>
          <w:b/>
          <w:bCs/>
          <w:lang w:bidi="ta-IN"/>
        </w:rPr>
        <w:t xml:space="preserve">S.T.A. SOUND &amp; LIGHT, obrt za </w:t>
      </w:r>
      <w:proofErr w:type="spellStart"/>
      <w:r w:rsidR="00113ED3" w:rsidRPr="00560046">
        <w:rPr>
          <w:b/>
          <w:bCs/>
          <w:lang w:bidi="ta-IN"/>
        </w:rPr>
        <w:t>ozvučavanje</w:t>
      </w:r>
      <w:proofErr w:type="spellEnd"/>
      <w:r w:rsidR="00113ED3" w:rsidRPr="00560046">
        <w:rPr>
          <w:b/>
          <w:bCs/>
          <w:lang w:bidi="ta-IN"/>
        </w:rPr>
        <w:t xml:space="preserve">, razglasi i rasvjeta, </w:t>
      </w:r>
      <w:proofErr w:type="spellStart"/>
      <w:r w:rsidR="00113ED3" w:rsidRPr="00560046">
        <w:rPr>
          <w:b/>
          <w:bCs/>
          <w:lang w:bidi="ta-IN"/>
        </w:rPr>
        <w:t>vl</w:t>
      </w:r>
      <w:proofErr w:type="spellEnd"/>
      <w:r w:rsidR="00113ED3" w:rsidRPr="00560046">
        <w:rPr>
          <w:b/>
          <w:bCs/>
          <w:lang w:bidi="ta-IN"/>
        </w:rPr>
        <w:t xml:space="preserve">. Anton </w:t>
      </w:r>
      <w:proofErr w:type="spellStart"/>
      <w:r w:rsidR="00113ED3" w:rsidRPr="00560046">
        <w:rPr>
          <w:b/>
          <w:bCs/>
          <w:lang w:bidi="ta-IN"/>
        </w:rPr>
        <w:t>Đunđek</w:t>
      </w:r>
      <w:proofErr w:type="spellEnd"/>
      <w:r w:rsidR="00113ED3" w:rsidRPr="00560046">
        <w:rPr>
          <w:b/>
          <w:bCs/>
          <w:lang w:bidi="ta-IN"/>
        </w:rPr>
        <w:t>, Lokvica 8, 51513 Omišalj, OIB 12545334077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763CF70C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FD2DC1" w:rsidRPr="00FB1391">
        <w:rPr>
          <w:rFonts w:eastAsia="Times New Roman"/>
          <w:lang w:eastAsia="hr-HR"/>
        </w:rPr>
        <w:t>Stručno povjerenstvo za jednostavn</w:t>
      </w:r>
      <w:r w:rsidR="00FD2DC1">
        <w:rPr>
          <w:rFonts w:eastAsia="Times New Roman"/>
          <w:lang w:eastAsia="hr-HR"/>
        </w:rPr>
        <w:t>u</w:t>
      </w:r>
      <w:r w:rsidR="00FD2DC1" w:rsidRPr="00FB1391">
        <w:rPr>
          <w:rFonts w:eastAsia="Times New Roman"/>
          <w:lang w:eastAsia="hr-HR"/>
        </w:rPr>
        <w:t xml:space="preserve"> nabav</w:t>
      </w:r>
      <w:r w:rsidR="00FD2DC1">
        <w:rPr>
          <w:rFonts w:eastAsia="Times New Roman"/>
          <w:lang w:eastAsia="hr-HR"/>
        </w:rPr>
        <w:t>u</w:t>
      </w:r>
      <w:r w:rsidR="00FD2DC1">
        <w:rPr>
          <w:lang w:bidi="ta-IN"/>
        </w:rPr>
        <w:t xml:space="preserve"> </w:t>
      </w:r>
      <w:r w:rsidR="00FD2DC1">
        <w:rPr>
          <w:lang w:bidi="ta-IN"/>
        </w:rPr>
        <w:t xml:space="preserve">je pregledom ponude ponuditelja Br1 </w:t>
      </w:r>
      <w:proofErr w:type="spellStart"/>
      <w:r w:rsidR="00FD2DC1">
        <w:rPr>
          <w:lang w:bidi="ta-IN"/>
        </w:rPr>
        <w:t>j.d.o.o</w:t>
      </w:r>
      <w:proofErr w:type="spellEnd"/>
      <w:r w:rsidR="00FD2DC1">
        <w:rPr>
          <w:lang w:bidi="ta-IN"/>
        </w:rPr>
        <w:t xml:space="preserve">., Prijelaz Franje Paravića 10, 51000 Rijeka, OIB 54943235688 istu proglasilo nevaljanom iz razloga što ponuditelj nije </w:t>
      </w:r>
      <w:r w:rsidR="00FD2DC1" w:rsidRPr="00C5701E">
        <w:rPr>
          <w:lang w:bidi="ta-IN"/>
        </w:rPr>
        <w:t>ispunio obvezu plaćanja dospjelih poreznih obveza</w:t>
      </w:r>
      <w:r w:rsidR="00FD2DC1">
        <w:rPr>
          <w:lang w:bidi="ta-IN"/>
        </w:rPr>
        <w:t>, sve</w:t>
      </w:r>
      <w:r w:rsidR="00FD2DC1" w:rsidRPr="00C5701E">
        <w:rPr>
          <w:lang w:bidi="ta-IN"/>
        </w:rPr>
        <w:t xml:space="preserve"> </w:t>
      </w:r>
      <w:r w:rsidR="00FD2DC1">
        <w:rPr>
          <w:lang w:bidi="ta-IN"/>
        </w:rPr>
        <w:t xml:space="preserve">sukladno točki 12.4. Poziva na dostavu ponuda, </w:t>
      </w:r>
      <w:r w:rsidR="00FD2DC1" w:rsidRPr="00C5701E">
        <w:rPr>
          <w:lang w:bidi="ta-IN"/>
        </w:rPr>
        <w:t>KLASA: 024-01/22-01/48</w:t>
      </w:r>
      <w:r w:rsidR="00FD2DC1">
        <w:rPr>
          <w:lang w:bidi="ta-IN"/>
        </w:rPr>
        <w:t>,</w:t>
      </w:r>
      <w:r w:rsidR="00FD2DC1" w:rsidRPr="00C5701E">
        <w:rPr>
          <w:lang w:bidi="ta-IN"/>
        </w:rPr>
        <w:t xml:space="preserve"> URBROJ: 2170-30-22-01-3</w:t>
      </w:r>
      <w:r w:rsidR="00FD2DC1">
        <w:rPr>
          <w:lang w:bidi="ta-IN"/>
        </w:rPr>
        <w:t xml:space="preserve"> od 13.09.2022. godine.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53063F84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DF039B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13ED3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DF039B"/>
    <w:rsid w:val="00E01E25"/>
    <w:rsid w:val="00E20CA0"/>
    <w:rsid w:val="00EB6B14"/>
    <w:rsid w:val="00F17EAD"/>
    <w:rsid w:val="00F23CA3"/>
    <w:rsid w:val="00F46D38"/>
    <w:rsid w:val="00FD2DC1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2022-09-22T07:40:00Z</cp:lastPrinted>
  <dcterms:created xsi:type="dcterms:W3CDTF">2022-09-22T07:40:00Z</dcterms:created>
  <dcterms:modified xsi:type="dcterms:W3CDTF">2022-09-22T08:16:00Z</dcterms:modified>
</cp:coreProperties>
</file>