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8533CCA" w14:textId="77777777" w:rsidR="00E9399F" w:rsidRPr="00881C3C" w:rsidRDefault="00E9399F" w:rsidP="00E9399F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81C3C">
        <w:rPr>
          <w:rFonts w:eastAsia="Times New Roman"/>
          <w:lang w:eastAsia="ar-SA"/>
        </w:rPr>
        <w:t>KLASA: 024-01/25-01/30</w:t>
      </w:r>
    </w:p>
    <w:p w14:paraId="0C4FE65B" w14:textId="00DDA8B5" w:rsidR="00E9399F" w:rsidRPr="00881C3C" w:rsidRDefault="00E9399F" w:rsidP="00E9399F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81C3C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7044E3C8" w14:textId="370E4A9D" w:rsidR="00E9399F" w:rsidRDefault="00E9399F" w:rsidP="00E9399F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881C3C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21</w:t>
      </w:r>
      <w:r w:rsidRPr="00881C3C">
        <w:rPr>
          <w:rFonts w:eastAsia="Times New Roman"/>
          <w:lang w:eastAsia="ar-SA"/>
        </w:rPr>
        <w:t>. ožujka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2E903DF5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E9399F" w:rsidRPr="00881C3C">
        <w:rPr>
          <w:lang w:bidi="ta-IN"/>
        </w:rPr>
        <w:t>Izvedba mjera smirivanja prometa - uzdignute plohe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67D62F4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E9399F">
        <w:rPr>
          <w:lang w:bidi="ta-IN"/>
        </w:rPr>
        <w:t>054/25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05651755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E9399F" w:rsidRPr="00881C3C">
        <w:rPr>
          <w:lang w:bidi="ta-IN"/>
        </w:rPr>
        <w:t xml:space="preserve">45.000,00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C2E67FA" w:rsidR="00D931F5" w:rsidRDefault="00E9399F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4F3B32">
        <w:rPr>
          <w:b/>
          <w:bCs/>
          <w:lang w:bidi="ta-IN"/>
        </w:rPr>
        <w:t xml:space="preserve">GUSTE ZIDINE d. o. o., </w:t>
      </w:r>
      <w:proofErr w:type="spellStart"/>
      <w:r w:rsidRPr="004F3B32">
        <w:rPr>
          <w:b/>
          <w:bCs/>
          <w:lang w:bidi="ta-IN"/>
        </w:rPr>
        <w:t>Jurjenići</w:t>
      </w:r>
      <w:proofErr w:type="spellEnd"/>
      <w:r w:rsidRPr="004F3B32">
        <w:rPr>
          <w:b/>
          <w:bCs/>
          <w:lang w:bidi="ta-IN"/>
        </w:rPr>
        <w:t xml:space="preserve"> 92,</w:t>
      </w:r>
      <w:r>
        <w:rPr>
          <w:b/>
          <w:bCs/>
          <w:lang w:bidi="ta-IN"/>
        </w:rPr>
        <w:t xml:space="preserve"> </w:t>
      </w:r>
      <w:r w:rsidRPr="004F3B32">
        <w:rPr>
          <w:b/>
          <w:bCs/>
          <w:lang w:bidi="ta-IN"/>
        </w:rPr>
        <w:t>51215 Kastav, OIB 85284941013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86D7273" w:rsidR="00F46D38" w:rsidRPr="00723D0B" w:rsidRDefault="00E9399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9399F">
              <w:rPr>
                <w:b/>
                <w:bCs/>
                <w:lang w:bidi="ta-IN"/>
              </w:rPr>
              <w:t>52.043,50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04C2E86E" w:rsidR="00F46D38" w:rsidRPr="00723D0B" w:rsidRDefault="00E9399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9399F">
              <w:rPr>
                <w:b/>
                <w:bCs/>
                <w:lang w:bidi="ta-IN"/>
              </w:rPr>
              <w:t>13.010,88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0A343422" w:rsidR="00F46D38" w:rsidRPr="00723D0B" w:rsidRDefault="00E9399F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E9399F">
              <w:rPr>
                <w:b/>
                <w:bCs/>
                <w:lang w:bidi="ta-IN"/>
              </w:rPr>
              <w:t>65.054,38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359C767B" w14:textId="5BFC38ED" w:rsidR="00E9399F" w:rsidRPr="00E9399F" w:rsidRDefault="00586E96" w:rsidP="00E9399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E9399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E9399F">
        <w:rPr>
          <w:lang w:bidi="ta-IN"/>
        </w:rPr>
        <w:t xml:space="preserve">Naručitelj je u predmetnom postupku nabave zaprimio jednu ponudu, </w:t>
      </w:r>
      <w:r w:rsidR="00E9399F" w:rsidRPr="00E9399F">
        <w:rPr>
          <w:lang w:bidi="ta-IN"/>
        </w:rPr>
        <w:t xml:space="preserve">ponuditelja GUSTE ZIDINE d. o. o., </w:t>
      </w:r>
      <w:proofErr w:type="spellStart"/>
      <w:r w:rsidR="00E9399F" w:rsidRPr="00E9399F">
        <w:rPr>
          <w:lang w:bidi="ta-IN"/>
        </w:rPr>
        <w:t>Jurjenići</w:t>
      </w:r>
      <w:proofErr w:type="spellEnd"/>
      <w:r w:rsidR="00E9399F" w:rsidRPr="00E9399F">
        <w:rPr>
          <w:lang w:bidi="ta-IN"/>
        </w:rPr>
        <w:t xml:space="preserve"> 92, 51215 Kastav, OIB 85284941013</w:t>
      </w:r>
      <w:r w:rsidR="00E9399F">
        <w:rPr>
          <w:lang w:bidi="ta-IN"/>
        </w:rPr>
        <w:t xml:space="preserve">. Uvidom u spomenutu ponudu utvrđeno je da ista </w:t>
      </w:r>
      <w:r w:rsidR="00E9399F">
        <w:rPr>
          <w:lang w:bidi="ta-IN"/>
        </w:rPr>
        <w:t>zadovoljava uvjete propisane natječajnom dokumentacijom, međutim ponuđena cijena je veća od procijenjene vrijednosti nabave.</w:t>
      </w:r>
    </w:p>
    <w:p w14:paraId="4E7A1C2F" w14:textId="77777777" w:rsidR="00E9399F" w:rsidRPr="00FA5820" w:rsidRDefault="00E9399F" w:rsidP="00E9399F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bookmarkStart w:id="1" w:name="_Hlk85439947"/>
    </w:p>
    <w:p w14:paraId="3D980633" w14:textId="77777777" w:rsidR="00E9399F" w:rsidRDefault="00E9399F" w:rsidP="00E9399F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r w:rsidRPr="00FA5820">
        <w:rPr>
          <w:lang w:bidi="ta-IN"/>
        </w:rPr>
        <w:t>Točkom</w:t>
      </w:r>
      <w:r>
        <w:rPr>
          <w:lang w:bidi="ta-IN"/>
        </w:rPr>
        <w:t xml:space="preserve"> 18. Poziva na dostavu ponuda od </w:t>
      </w:r>
      <w:r w:rsidRPr="00FA5820">
        <w:rPr>
          <w:lang w:bidi="ta-IN"/>
        </w:rPr>
        <w:t>12. ožujka 2025</w:t>
      </w:r>
      <w:r>
        <w:rPr>
          <w:lang w:bidi="ta-IN"/>
        </w:rPr>
        <w:t xml:space="preserve">., KLASA: </w:t>
      </w:r>
      <w:r w:rsidRPr="00FA5820">
        <w:rPr>
          <w:lang w:bidi="ta-IN"/>
        </w:rPr>
        <w:t>024-01/25-01/30</w:t>
      </w:r>
      <w:r>
        <w:rPr>
          <w:lang w:bidi="ta-IN"/>
        </w:rPr>
        <w:t xml:space="preserve">, </w:t>
      </w:r>
      <w:r w:rsidRPr="00FA5820">
        <w:rPr>
          <w:lang w:bidi="ta-IN"/>
        </w:rPr>
        <w:t>URBROJ: 2170-30-25-3</w:t>
      </w:r>
      <w:r>
        <w:rPr>
          <w:lang w:bidi="ta-IN"/>
        </w:rPr>
        <w:t xml:space="preserve">, a u svezi s člankom </w:t>
      </w:r>
      <w:r w:rsidRPr="00FA5820">
        <w:rPr>
          <w:lang w:bidi="ta-IN"/>
        </w:rPr>
        <w:t>298. stavkom 1. točkom 9. ZJN 2016</w:t>
      </w:r>
      <w:r>
        <w:rPr>
          <w:lang w:bidi="ta-IN"/>
        </w:rPr>
        <w:t xml:space="preserve">, </w:t>
      </w:r>
      <w:r w:rsidRPr="00FA5820">
        <w:rPr>
          <w:lang w:bidi="ta-IN"/>
        </w:rPr>
        <w:t xml:space="preserve">propisano je da </w:t>
      </w:r>
      <w:r>
        <w:rPr>
          <w:lang w:bidi="ta-IN"/>
        </w:rPr>
        <w:t>će</w:t>
      </w:r>
      <w:r w:rsidRPr="00FA5820">
        <w:rPr>
          <w:lang w:bidi="ta-IN"/>
        </w:rPr>
        <w:t xml:space="preserve"> </w:t>
      </w:r>
      <w:r>
        <w:rPr>
          <w:lang w:bidi="ta-IN"/>
        </w:rPr>
        <w:t>N</w:t>
      </w:r>
      <w:r w:rsidRPr="00FA5820">
        <w:rPr>
          <w:lang w:bidi="ta-IN"/>
        </w:rPr>
        <w:t xml:space="preserve">aručitelj poništiti postupak nabave </w:t>
      </w:r>
      <w:r>
        <w:rPr>
          <w:lang w:bidi="ta-IN"/>
        </w:rPr>
        <w:t xml:space="preserve">ukoliko </w:t>
      </w:r>
      <w:r w:rsidRPr="00FA5820">
        <w:rPr>
          <w:lang w:bidi="ta-IN"/>
        </w:rPr>
        <w:t>je cijena najpovoljnije ponude veća od procijenjene vrijednosti nabave, osim ako Naručitelj ima ili će imati osigurana sredstva</w:t>
      </w:r>
      <w:r>
        <w:rPr>
          <w:lang w:bidi="ta-IN"/>
        </w:rPr>
        <w:t>.</w:t>
      </w:r>
    </w:p>
    <w:p w14:paraId="0C32A52D" w14:textId="77777777" w:rsidR="00E9399F" w:rsidRDefault="00E9399F" w:rsidP="00E9399F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</w:p>
    <w:p w14:paraId="6A6AD8E2" w14:textId="4C4D96C7" w:rsidR="00586E96" w:rsidRDefault="00E9399F" w:rsidP="00E9399F">
      <w:pPr>
        <w:pStyle w:val="ListParagraph"/>
        <w:autoSpaceDE w:val="0"/>
        <w:autoSpaceDN w:val="0"/>
        <w:adjustRightInd w:val="0"/>
        <w:ind w:left="360"/>
        <w:jc w:val="both"/>
        <w:rPr>
          <w:lang w:bidi="ta-IN"/>
        </w:rPr>
      </w:pPr>
      <w:r>
        <w:rPr>
          <w:lang w:bidi="ta-IN"/>
        </w:rPr>
        <w:lastRenderedPageBreak/>
        <w:t xml:space="preserve">Uzimajući u obzir da je Naručitelj prethodno osigurao proračunska sredstva u visini dostatnoj za snošenje cijene predmetne ponude, </w:t>
      </w:r>
      <w:r>
        <w:rPr>
          <w:lang w:bidi="ta-IN"/>
        </w:rPr>
        <w:t xml:space="preserve">donosi se ova Odluka o odabiru za ponudu </w:t>
      </w:r>
      <w:r w:rsidRPr="00FA5820">
        <w:rPr>
          <w:lang w:bidi="ta-IN"/>
        </w:rPr>
        <w:t xml:space="preserve">oznake </w:t>
      </w:r>
      <w:r>
        <w:rPr>
          <w:lang w:bidi="ta-IN"/>
        </w:rPr>
        <w:t>GZ-030/2025/1</w:t>
      </w:r>
      <w:r w:rsidRPr="00FA5820">
        <w:rPr>
          <w:lang w:bidi="ta-IN"/>
        </w:rPr>
        <w:t xml:space="preserve">, ponuditelja </w:t>
      </w:r>
      <w:r w:rsidRPr="004F3B32">
        <w:rPr>
          <w:b/>
          <w:bCs/>
          <w:lang w:bidi="ta-IN"/>
        </w:rPr>
        <w:t xml:space="preserve">GUSTE ZIDINE d. o. o., </w:t>
      </w:r>
      <w:proofErr w:type="spellStart"/>
      <w:r w:rsidRPr="004F3B32">
        <w:rPr>
          <w:b/>
          <w:bCs/>
          <w:lang w:bidi="ta-IN"/>
        </w:rPr>
        <w:t>Jurjenići</w:t>
      </w:r>
      <w:proofErr w:type="spellEnd"/>
      <w:r w:rsidRPr="004F3B32">
        <w:rPr>
          <w:b/>
          <w:bCs/>
          <w:lang w:bidi="ta-IN"/>
        </w:rPr>
        <w:t xml:space="preserve"> 92,</w:t>
      </w:r>
      <w:r>
        <w:rPr>
          <w:b/>
          <w:bCs/>
          <w:lang w:bidi="ta-IN"/>
        </w:rPr>
        <w:t xml:space="preserve"> </w:t>
      </w:r>
      <w:r w:rsidRPr="004F3B32">
        <w:rPr>
          <w:b/>
          <w:bCs/>
          <w:lang w:bidi="ta-IN"/>
        </w:rPr>
        <w:t>51215 Kastav, OIB 85284941013</w:t>
      </w:r>
      <w:r w:rsidRPr="00FA5820">
        <w:rPr>
          <w:lang w:bidi="ta-IN"/>
        </w:rPr>
        <w:t xml:space="preserve">, </w:t>
      </w:r>
      <w:r w:rsidRPr="00BD655C">
        <w:rPr>
          <w:color w:val="000000"/>
        </w:rPr>
        <w:t xml:space="preserve">iz razloga što je </w:t>
      </w:r>
      <w:r>
        <w:rPr>
          <w:color w:val="000000"/>
        </w:rPr>
        <w:t xml:space="preserve">spomenuta </w:t>
      </w:r>
      <w:r w:rsidRPr="00BD655C">
        <w:rPr>
          <w:color w:val="000000"/>
        </w:rPr>
        <w:t xml:space="preserve">ponuda ocijenjena valjanom </w:t>
      </w:r>
      <w:r w:rsidRPr="00C80BFA">
        <w:rPr>
          <w:color w:val="000000"/>
        </w:rPr>
        <w:t>i prihvatljivom zahtjevima Naručitelja</w:t>
      </w:r>
      <w:r w:rsidRPr="00FA5820">
        <w:rPr>
          <w:lang w:bidi="ta-IN"/>
        </w:rPr>
        <w:t>.</w:t>
      </w:r>
      <w:bookmarkEnd w:id="1"/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E9399F">
        <w:rPr>
          <w:lang w:bidi="ta-IN"/>
        </w:rPr>
        <w:t>N</w:t>
      </w:r>
      <w:r w:rsidRPr="00E9399F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5B50BD58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8B6BBD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A1310"/>
    <w:multiLevelType w:val="multilevel"/>
    <w:tmpl w:val="9030F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7" w:hanging="367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  <w:num w:numId="5" w16cid:durableId="455372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74342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B6BBD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9399F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2025-03-25T11:21:00Z</cp:lastPrinted>
  <dcterms:created xsi:type="dcterms:W3CDTF">2025-03-25T11:22:00Z</dcterms:created>
  <dcterms:modified xsi:type="dcterms:W3CDTF">2025-03-25T11:22:00Z</dcterms:modified>
</cp:coreProperties>
</file>