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C87C" w14:textId="2A308A89" w:rsidR="00EB465B" w:rsidRPr="00EB465B" w:rsidRDefault="00EB465B" w:rsidP="00EB465B">
      <w:pPr>
        <w:spacing w:after="0" w:line="240" w:lineRule="auto"/>
        <w:jc w:val="both"/>
        <w:rPr>
          <w:rFonts w:ascii="Garamond" w:eastAsia="Times New Roman" w:hAnsi="Garamond" w:cs="Times New Roman"/>
          <w:sz w:val="24"/>
          <w:szCs w:val="24"/>
        </w:rPr>
      </w:pPr>
      <w:bookmarkStart w:id="0" w:name="_Hlk129721939"/>
      <w:r w:rsidRPr="00EB465B">
        <w:rPr>
          <w:rFonts w:ascii="Garamond" w:eastAsia="Times New Roman" w:hAnsi="Garamond" w:cs="Times New Roman"/>
          <w:color w:val="000000"/>
          <w:sz w:val="24"/>
          <w:szCs w:val="24"/>
        </w:rPr>
        <w:t xml:space="preserve">Na temelju </w:t>
      </w:r>
      <w:r w:rsidRPr="00EB465B">
        <w:rPr>
          <w:rFonts w:ascii="Garamond" w:eastAsia="Times New Roman" w:hAnsi="Garamond" w:cs="Times New Roman"/>
          <w:sz w:val="24"/>
          <w:szCs w:val="24"/>
        </w:rPr>
        <w:t xml:space="preserve">članka 214. </w:t>
      </w:r>
      <w:r w:rsidRPr="00EB465B">
        <w:rPr>
          <w:rFonts w:ascii="Garamond" w:eastAsia="Times New Roman" w:hAnsi="Garamond" w:cs="Times New Roman"/>
          <w:color w:val="000000"/>
          <w:sz w:val="24"/>
          <w:szCs w:val="24"/>
        </w:rPr>
        <w:t>Pravilnika</w:t>
      </w:r>
      <w:r w:rsidRPr="00EB465B">
        <w:rPr>
          <w:rFonts w:ascii="Garamond" w:eastAsia="Times New Roman" w:hAnsi="Garamond" w:cs="Times New Roman"/>
          <w:sz w:val="24"/>
          <w:szCs w:val="24"/>
        </w:rPr>
        <w:t xml:space="preserve"> o proračunskom računovodstvu i Računskom planu („Narodne novine“ br</w:t>
      </w:r>
      <w:r>
        <w:rPr>
          <w:rFonts w:ascii="Garamond" w:eastAsia="Times New Roman" w:hAnsi="Garamond" w:cs="Times New Roman"/>
          <w:sz w:val="24"/>
          <w:szCs w:val="24"/>
        </w:rPr>
        <w:t>oj</w:t>
      </w:r>
      <w:r w:rsidRPr="00EB465B">
        <w:rPr>
          <w:rFonts w:ascii="Garamond" w:eastAsia="Times New Roman" w:hAnsi="Garamond" w:cs="Times New Roman"/>
          <w:sz w:val="24"/>
          <w:szCs w:val="24"/>
        </w:rPr>
        <w:t xml:space="preserve"> 158/23 i 154/24) i članka 33. Statuta Općine Omišalj („Službene novine Primorsko-goranske županije“ br</w:t>
      </w:r>
      <w:r>
        <w:rPr>
          <w:rFonts w:ascii="Garamond" w:eastAsia="Times New Roman" w:hAnsi="Garamond" w:cs="Times New Roman"/>
          <w:sz w:val="24"/>
          <w:szCs w:val="24"/>
        </w:rPr>
        <w:t>oj</w:t>
      </w:r>
      <w:r w:rsidRPr="00EB465B">
        <w:rPr>
          <w:rFonts w:ascii="Garamond" w:eastAsia="Times New Roman" w:hAnsi="Garamond" w:cs="Times New Roman"/>
          <w:sz w:val="24"/>
          <w:szCs w:val="24"/>
        </w:rPr>
        <w:t xml:space="preserve"> 5/21), Općinsko vijeće Općine Omišalj na </w:t>
      </w:r>
      <w:r>
        <w:rPr>
          <w:rFonts w:ascii="Garamond" w:eastAsia="Times New Roman" w:hAnsi="Garamond" w:cs="Times New Roman"/>
          <w:sz w:val="24"/>
          <w:szCs w:val="24"/>
        </w:rPr>
        <w:t>6</w:t>
      </w:r>
      <w:r w:rsidRPr="00EB465B">
        <w:rPr>
          <w:rFonts w:ascii="Garamond" w:eastAsia="Times New Roman" w:hAnsi="Garamond" w:cs="Times New Roman"/>
          <w:sz w:val="24"/>
          <w:szCs w:val="24"/>
        </w:rPr>
        <w:t>. sjednici održanoj</w:t>
      </w:r>
      <w:r>
        <w:rPr>
          <w:rFonts w:ascii="Garamond" w:eastAsia="Times New Roman" w:hAnsi="Garamond" w:cs="Times New Roman"/>
          <w:sz w:val="24"/>
          <w:szCs w:val="24"/>
        </w:rPr>
        <w:t xml:space="preserve"> </w:t>
      </w:r>
      <w:r w:rsidR="003B0E43">
        <w:rPr>
          <w:rFonts w:ascii="Garamond" w:eastAsia="Calibri" w:hAnsi="Garamond" w:cs="Times New Roman"/>
          <w:noProof w:val="0"/>
          <w:sz w:val="24"/>
          <w:szCs w:val="24"/>
        </w:rPr>
        <w:t>21. svibnja</w:t>
      </w:r>
      <w:r w:rsidRPr="004454ED">
        <w:rPr>
          <w:rFonts w:ascii="Garamond" w:eastAsia="Calibri" w:hAnsi="Garamond" w:cs="Times New Roman"/>
          <w:noProof w:val="0"/>
          <w:sz w:val="24"/>
          <w:szCs w:val="24"/>
        </w:rPr>
        <w:t xml:space="preserve"> </w:t>
      </w:r>
      <w:r w:rsidRPr="00EB465B">
        <w:rPr>
          <w:rFonts w:ascii="Garamond" w:eastAsia="Times New Roman" w:hAnsi="Garamond" w:cs="Times New Roman"/>
          <w:sz w:val="24"/>
          <w:szCs w:val="24"/>
        </w:rPr>
        <w:t>2026. godine, donosi</w:t>
      </w:r>
    </w:p>
    <w:bookmarkEnd w:id="0"/>
    <w:p w14:paraId="5EEE9D30"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031127C3" w14:textId="7830EB91" w:rsidR="00EB465B" w:rsidRPr="00EB465B" w:rsidRDefault="00EB465B" w:rsidP="00EB465B">
      <w:pPr>
        <w:spacing w:after="0" w:line="240" w:lineRule="auto"/>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ODLUKU</w:t>
      </w:r>
    </w:p>
    <w:p w14:paraId="442F17D7" w14:textId="77777777" w:rsidR="00EB465B" w:rsidRPr="00EB465B" w:rsidRDefault="00EB465B" w:rsidP="00EB465B">
      <w:pPr>
        <w:spacing w:after="0" w:line="240" w:lineRule="auto"/>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o raspodjeli rezultata</w:t>
      </w:r>
    </w:p>
    <w:p w14:paraId="5DB26F31" w14:textId="77777777" w:rsidR="00EB465B" w:rsidRPr="00EB465B" w:rsidRDefault="00EB465B" w:rsidP="00EB465B">
      <w:pPr>
        <w:spacing w:after="0" w:line="240" w:lineRule="auto"/>
        <w:jc w:val="center"/>
        <w:rPr>
          <w:rFonts w:ascii="Garamond" w:eastAsia="Times New Roman" w:hAnsi="Garamond" w:cs="Times New Roman"/>
          <w:b/>
          <w:sz w:val="24"/>
          <w:szCs w:val="24"/>
        </w:rPr>
      </w:pPr>
    </w:p>
    <w:p w14:paraId="2160A4B6" w14:textId="77777777" w:rsidR="00EB465B" w:rsidRPr="00EB465B" w:rsidRDefault="00EB465B" w:rsidP="00EB465B">
      <w:pPr>
        <w:spacing w:after="0" w:line="240" w:lineRule="auto"/>
        <w:rPr>
          <w:rFonts w:ascii="Garamond" w:eastAsia="Times New Roman" w:hAnsi="Garamond" w:cs="Times New Roman"/>
          <w:b/>
          <w:sz w:val="24"/>
          <w:szCs w:val="24"/>
        </w:rPr>
      </w:pPr>
    </w:p>
    <w:p w14:paraId="139BA1E7" w14:textId="07CA1024" w:rsidR="00EB465B" w:rsidRPr="00EB465B" w:rsidRDefault="00EB465B" w:rsidP="00EB465B">
      <w:pPr>
        <w:spacing w:after="0" w:line="240" w:lineRule="auto"/>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Članak 1.</w:t>
      </w:r>
    </w:p>
    <w:p w14:paraId="549ECED8" w14:textId="77777777"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 xml:space="preserve">Ovom Odlukom provodi se raspodjela rezultata iskazanog u financijskim izvještajima za 2025. godinu te se utvrđuje namjena i raspodjela viška neutrošenih prihoda u skladu s propisima iz područja proračuna. </w:t>
      </w:r>
    </w:p>
    <w:p w14:paraId="10E6A686"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7B8F0CDC" w14:textId="6DD9EF4C" w:rsidR="00EB465B" w:rsidRPr="00EB465B" w:rsidRDefault="00EB465B" w:rsidP="00EB465B">
      <w:pPr>
        <w:spacing w:after="0" w:line="240" w:lineRule="auto"/>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Članak 2.</w:t>
      </w:r>
    </w:p>
    <w:p w14:paraId="39ED5E3D" w14:textId="77777777"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Općina Omišalj je na dan 31. prosinca 2025. godine iskazala rezultat u Bilanci na računima podskupine 922 prema kategorijama kako slijedi:</w:t>
      </w:r>
    </w:p>
    <w:p w14:paraId="134ED0FC" w14:textId="77777777" w:rsidR="00EB465B" w:rsidRPr="00EB465B" w:rsidRDefault="00EB465B" w:rsidP="00EB465B">
      <w:pPr>
        <w:spacing w:after="0" w:line="240" w:lineRule="auto"/>
        <w:jc w:val="both"/>
        <w:rPr>
          <w:rFonts w:ascii="Garamond" w:eastAsia="Times New Roman" w:hAnsi="Garamond" w:cs="Times New Roman"/>
          <w:bCs/>
          <w:sz w:val="24"/>
          <w:szCs w:val="24"/>
        </w:rPr>
      </w:pPr>
    </w:p>
    <w:tbl>
      <w:tblPr>
        <w:tblStyle w:val="TableGrid2"/>
        <w:tblW w:w="9392" w:type="dxa"/>
        <w:tblLook w:val="04A0" w:firstRow="1" w:lastRow="0" w:firstColumn="1" w:lastColumn="0" w:noHBand="0" w:noVBand="1"/>
      </w:tblPr>
      <w:tblGrid>
        <w:gridCol w:w="1438"/>
        <w:gridCol w:w="5604"/>
        <w:gridCol w:w="2350"/>
      </w:tblGrid>
      <w:tr w:rsidR="00EB465B" w:rsidRPr="00EB465B" w14:paraId="55B81A09" w14:textId="77777777" w:rsidTr="00EB465B">
        <w:trPr>
          <w:trHeight w:val="555"/>
        </w:trPr>
        <w:tc>
          <w:tcPr>
            <w:tcW w:w="1438" w:type="dxa"/>
            <w:shd w:val="clear" w:color="auto" w:fill="DBE5F1"/>
            <w:vAlign w:val="center"/>
          </w:tcPr>
          <w:p w14:paraId="51B3FF61"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Račun</w:t>
            </w:r>
          </w:p>
        </w:tc>
        <w:tc>
          <w:tcPr>
            <w:tcW w:w="5604" w:type="dxa"/>
            <w:shd w:val="clear" w:color="auto" w:fill="DBE5F1"/>
            <w:vAlign w:val="center"/>
          </w:tcPr>
          <w:p w14:paraId="0159100C"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Naziv</w:t>
            </w:r>
          </w:p>
        </w:tc>
        <w:tc>
          <w:tcPr>
            <w:tcW w:w="2350" w:type="dxa"/>
            <w:shd w:val="clear" w:color="auto" w:fill="DBE5F1"/>
            <w:vAlign w:val="center"/>
          </w:tcPr>
          <w:p w14:paraId="50C94DBD" w14:textId="77777777" w:rsidR="00EB465B" w:rsidRPr="00EB465B" w:rsidRDefault="00EB465B" w:rsidP="00EB465B">
            <w:pPr>
              <w:jc w:val="right"/>
              <w:rPr>
                <w:rFonts w:ascii="Garamond" w:eastAsia="Times New Roman" w:hAnsi="Garamond"/>
                <w:b/>
                <w:sz w:val="24"/>
                <w:szCs w:val="24"/>
              </w:rPr>
            </w:pPr>
            <w:r w:rsidRPr="00EB465B">
              <w:rPr>
                <w:rFonts w:ascii="Garamond" w:eastAsia="Times New Roman" w:hAnsi="Garamond"/>
                <w:b/>
                <w:sz w:val="24"/>
                <w:szCs w:val="24"/>
              </w:rPr>
              <w:t>Stanje 31.12.2025.</w:t>
            </w:r>
          </w:p>
        </w:tc>
      </w:tr>
      <w:tr w:rsidR="00EB465B" w:rsidRPr="00EB465B" w14:paraId="253CA3C4" w14:textId="77777777" w:rsidTr="00871DE9">
        <w:trPr>
          <w:trHeight w:val="271"/>
        </w:trPr>
        <w:tc>
          <w:tcPr>
            <w:tcW w:w="1438" w:type="dxa"/>
            <w:vAlign w:val="center"/>
          </w:tcPr>
          <w:p w14:paraId="12CBB06D"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92211</w:t>
            </w:r>
          </w:p>
        </w:tc>
        <w:tc>
          <w:tcPr>
            <w:tcW w:w="5604" w:type="dxa"/>
          </w:tcPr>
          <w:p w14:paraId="2B3C0151" w14:textId="77777777" w:rsidR="00EB465B" w:rsidRPr="00EB465B" w:rsidRDefault="00EB465B" w:rsidP="00EB465B">
            <w:pPr>
              <w:jc w:val="both"/>
              <w:rPr>
                <w:rFonts w:ascii="Garamond" w:eastAsia="Times New Roman" w:hAnsi="Garamond"/>
                <w:bCs/>
                <w:sz w:val="24"/>
                <w:szCs w:val="24"/>
              </w:rPr>
            </w:pPr>
            <w:r w:rsidRPr="00EB465B">
              <w:rPr>
                <w:rFonts w:ascii="Garamond" w:eastAsia="Times New Roman" w:hAnsi="Garamond"/>
                <w:bCs/>
                <w:sz w:val="24"/>
                <w:szCs w:val="24"/>
              </w:rPr>
              <w:t>Višak prihoda poslovanja</w:t>
            </w:r>
          </w:p>
        </w:tc>
        <w:tc>
          <w:tcPr>
            <w:tcW w:w="2350" w:type="dxa"/>
          </w:tcPr>
          <w:p w14:paraId="380B5159" w14:textId="77777777" w:rsidR="00EB465B" w:rsidRPr="00EB465B" w:rsidRDefault="00EB465B" w:rsidP="00EB465B">
            <w:pPr>
              <w:jc w:val="right"/>
              <w:rPr>
                <w:rFonts w:ascii="Garamond" w:eastAsia="Times New Roman" w:hAnsi="Garamond"/>
                <w:b/>
                <w:sz w:val="24"/>
                <w:szCs w:val="24"/>
              </w:rPr>
            </w:pPr>
            <w:r w:rsidRPr="00EB465B">
              <w:rPr>
                <w:rFonts w:ascii="Garamond" w:eastAsia="Times New Roman" w:hAnsi="Garamond"/>
                <w:b/>
                <w:sz w:val="24"/>
                <w:szCs w:val="24"/>
              </w:rPr>
              <w:t>2.765.204,18</w:t>
            </w:r>
          </w:p>
        </w:tc>
      </w:tr>
      <w:tr w:rsidR="00EB465B" w:rsidRPr="00EB465B" w14:paraId="0CD75C18" w14:textId="77777777" w:rsidTr="00871DE9">
        <w:trPr>
          <w:trHeight w:val="283"/>
        </w:trPr>
        <w:tc>
          <w:tcPr>
            <w:tcW w:w="1438" w:type="dxa"/>
            <w:vAlign w:val="center"/>
          </w:tcPr>
          <w:p w14:paraId="22636747"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92222</w:t>
            </w:r>
          </w:p>
        </w:tc>
        <w:tc>
          <w:tcPr>
            <w:tcW w:w="5604" w:type="dxa"/>
          </w:tcPr>
          <w:p w14:paraId="5A7DD6CC" w14:textId="77777777" w:rsidR="00EB465B" w:rsidRPr="00EB465B" w:rsidRDefault="00EB465B" w:rsidP="00EB465B">
            <w:pPr>
              <w:jc w:val="both"/>
              <w:rPr>
                <w:rFonts w:ascii="Garamond" w:eastAsia="Times New Roman" w:hAnsi="Garamond"/>
                <w:bCs/>
                <w:sz w:val="24"/>
                <w:szCs w:val="24"/>
              </w:rPr>
            </w:pPr>
            <w:r w:rsidRPr="00EB465B">
              <w:rPr>
                <w:rFonts w:ascii="Garamond" w:eastAsia="Times New Roman" w:hAnsi="Garamond"/>
                <w:bCs/>
                <w:sz w:val="24"/>
                <w:szCs w:val="24"/>
              </w:rPr>
              <w:t>Manjak prihoda od nefinancijske imovine</w:t>
            </w:r>
          </w:p>
        </w:tc>
        <w:tc>
          <w:tcPr>
            <w:tcW w:w="2350" w:type="dxa"/>
          </w:tcPr>
          <w:p w14:paraId="28A63F4E" w14:textId="77777777" w:rsidR="00EB465B" w:rsidRPr="00EB465B" w:rsidRDefault="00EB465B" w:rsidP="00EB465B">
            <w:pPr>
              <w:jc w:val="right"/>
              <w:rPr>
                <w:rFonts w:ascii="Garamond" w:eastAsia="Times New Roman" w:hAnsi="Garamond"/>
                <w:b/>
                <w:sz w:val="24"/>
                <w:szCs w:val="24"/>
              </w:rPr>
            </w:pPr>
            <w:r w:rsidRPr="00EB465B">
              <w:rPr>
                <w:rFonts w:ascii="Garamond" w:eastAsia="Times New Roman" w:hAnsi="Garamond"/>
                <w:b/>
                <w:sz w:val="24"/>
                <w:szCs w:val="24"/>
              </w:rPr>
              <w:t>1.137.309,42</w:t>
            </w:r>
          </w:p>
        </w:tc>
      </w:tr>
      <w:tr w:rsidR="00EB465B" w:rsidRPr="00EB465B" w14:paraId="5601BB4E" w14:textId="77777777" w:rsidTr="00871DE9">
        <w:trPr>
          <w:trHeight w:val="271"/>
        </w:trPr>
        <w:tc>
          <w:tcPr>
            <w:tcW w:w="1438" w:type="dxa"/>
            <w:vAlign w:val="center"/>
          </w:tcPr>
          <w:p w14:paraId="3CF4C682"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92223</w:t>
            </w:r>
          </w:p>
        </w:tc>
        <w:tc>
          <w:tcPr>
            <w:tcW w:w="5604" w:type="dxa"/>
          </w:tcPr>
          <w:p w14:paraId="15702F23" w14:textId="77777777" w:rsidR="00EB465B" w:rsidRPr="00EB465B" w:rsidRDefault="00EB465B" w:rsidP="00EB465B">
            <w:pPr>
              <w:jc w:val="both"/>
              <w:rPr>
                <w:rFonts w:ascii="Garamond" w:eastAsia="Times New Roman" w:hAnsi="Garamond"/>
                <w:bCs/>
                <w:sz w:val="24"/>
                <w:szCs w:val="24"/>
              </w:rPr>
            </w:pPr>
            <w:r w:rsidRPr="00EB465B">
              <w:rPr>
                <w:rFonts w:ascii="Garamond" w:eastAsia="Times New Roman" w:hAnsi="Garamond"/>
                <w:bCs/>
                <w:sz w:val="24"/>
                <w:szCs w:val="24"/>
              </w:rPr>
              <w:t>Manjak primitaka od financijske imovine</w:t>
            </w:r>
          </w:p>
        </w:tc>
        <w:tc>
          <w:tcPr>
            <w:tcW w:w="2350" w:type="dxa"/>
          </w:tcPr>
          <w:p w14:paraId="0BCD1740" w14:textId="77777777" w:rsidR="00EB465B" w:rsidRPr="00EB465B" w:rsidRDefault="00EB465B" w:rsidP="00EB465B">
            <w:pPr>
              <w:jc w:val="right"/>
              <w:rPr>
                <w:rFonts w:ascii="Garamond" w:eastAsia="Times New Roman" w:hAnsi="Garamond"/>
                <w:b/>
                <w:sz w:val="24"/>
                <w:szCs w:val="24"/>
              </w:rPr>
            </w:pPr>
            <w:r w:rsidRPr="00EB465B">
              <w:rPr>
                <w:rFonts w:ascii="Garamond" w:eastAsia="Times New Roman" w:hAnsi="Garamond"/>
                <w:b/>
                <w:sz w:val="24"/>
                <w:szCs w:val="24"/>
              </w:rPr>
              <w:t>146.850,64</w:t>
            </w:r>
          </w:p>
        </w:tc>
      </w:tr>
      <w:tr w:rsidR="00EB465B" w:rsidRPr="00EB465B" w14:paraId="7A8CBBD1" w14:textId="77777777" w:rsidTr="00871DE9">
        <w:trPr>
          <w:trHeight w:val="271"/>
        </w:trPr>
        <w:tc>
          <w:tcPr>
            <w:tcW w:w="1438" w:type="dxa"/>
            <w:vAlign w:val="center"/>
          </w:tcPr>
          <w:p w14:paraId="1B7B7D00"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922</w:t>
            </w:r>
          </w:p>
        </w:tc>
        <w:tc>
          <w:tcPr>
            <w:tcW w:w="5604" w:type="dxa"/>
          </w:tcPr>
          <w:p w14:paraId="6B771E6C" w14:textId="77777777" w:rsidR="00EB465B" w:rsidRPr="00EB465B" w:rsidRDefault="00EB465B" w:rsidP="00EB465B">
            <w:pPr>
              <w:jc w:val="both"/>
              <w:rPr>
                <w:rFonts w:ascii="Garamond" w:eastAsia="Times New Roman" w:hAnsi="Garamond"/>
                <w:bCs/>
                <w:sz w:val="24"/>
                <w:szCs w:val="24"/>
              </w:rPr>
            </w:pPr>
            <w:r w:rsidRPr="00EB465B">
              <w:rPr>
                <w:rFonts w:ascii="Garamond" w:eastAsia="Times New Roman" w:hAnsi="Garamond"/>
                <w:bCs/>
                <w:sz w:val="24"/>
                <w:szCs w:val="24"/>
              </w:rPr>
              <w:t>Višak/manjak</w:t>
            </w:r>
          </w:p>
        </w:tc>
        <w:tc>
          <w:tcPr>
            <w:tcW w:w="2350" w:type="dxa"/>
          </w:tcPr>
          <w:p w14:paraId="53D702A1" w14:textId="77777777" w:rsidR="00EB465B" w:rsidRPr="00EB465B" w:rsidRDefault="00EB465B" w:rsidP="00EB465B">
            <w:pPr>
              <w:jc w:val="right"/>
              <w:rPr>
                <w:rFonts w:ascii="Garamond" w:eastAsia="Times New Roman" w:hAnsi="Garamond"/>
                <w:b/>
                <w:sz w:val="24"/>
                <w:szCs w:val="24"/>
              </w:rPr>
            </w:pPr>
            <w:r w:rsidRPr="00EB465B">
              <w:rPr>
                <w:rFonts w:ascii="Garamond" w:eastAsia="Times New Roman" w:hAnsi="Garamond"/>
                <w:b/>
                <w:sz w:val="24"/>
                <w:szCs w:val="24"/>
              </w:rPr>
              <w:t>1.481.044,12</w:t>
            </w:r>
          </w:p>
        </w:tc>
      </w:tr>
    </w:tbl>
    <w:p w14:paraId="319D840B" w14:textId="77777777" w:rsidR="00EB465B" w:rsidRPr="00EB465B" w:rsidRDefault="00EB465B" w:rsidP="00EB465B">
      <w:pPr>
        <w:spacing w:after="0" w:line="240" w:lineRule="auto"/>
        <w:jc w:val="both"/>
        <w:rPr>
          <w:rFonts w:ascii="Garamond" w:eastAsia="Times New Roman" w:hAnsi="Garamond" w:cs="Times New Roman"/>
          <w:bCs/>
          <w:sz w:val="24"/>
          <w:szCs w:val="24"/>
        </w:rPr>
      </w:pPr>
    </w:p>
    <w:p w14:paraId="02DF7543" w14:textId="77777777" w:rsidR="00EB465B" w:rsidRPr="00EB465B" w:rsidRDefault="00EB465B" w:rsidP="00EB465B">
      <w:pPr>
        <w:spacing w:after="0" w:line="240" w:lineRule="auto"/>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Članak 3.</w:t>
      </w:r>
    </w:p>
    <w:p w14:paraId="51A247F5" w14:textId="77777777"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Stanja na osnovnim računima podskupine 922 iskazana su u bilanci Općine Omišalj na dan 31. prosinca 2025. godine prema kategorijama i izvorima financiranja kako slijedi:</w:t>
      </w:r>
    </w:p>
    <w:p w14:paraId="3715B9A3" w14:textId="77777777" w:rsidR="00EB465B" w:rsidRPr="00EB465B" w:rsidRDefault="00EB465B" w:rsidP="00EB465B">
      <w:pPr>
        <w:spacing w:after="0" w:line="240" w:lineRule="auto"/>
        <w:jc w:val="both"/>
        <w:rPr>
          <w:rFonts w:ascii="Garamond" w:eastAsia="Times New Roman" w:hAnsi="Garamond" w:cs="Times New Roman"/>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731"/>
        <w:gridCol w:w="1843"/>
        <w:gridCol w:w="1984"/>
        <w:gridCol w:w="1843"/>
      </w:tblGrid>
      <w:tr w:rsidR="00EB465B" w:rsidRPr="00EB465B" w14:paraId="72C7703D" w14:textId="77777777" w:rsidTr="00EB465B">
        <w:trPr>
          <w:trHeight w:val="1035"/>
        </w:trPr>
        <w:tc>
          <w:tcPr>
            <w:tcW w:w="950" w:type="dxa"/>
            <w:shd w:val="clear" w:color="auto" w:fill="DBE5F1"/>
            <w:noWrap/>
            <w:vAlign w:val="center"/>
            <w:hideMark/>
          </w:tcPr>
          <w:p w14:paraId="577F6EB7"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r w:rsidRPr="00EB465B">
              <w:rPr>
                <w:rFonts w:ascii="Garamond" w:eastAsia="Times New Roman" w:hAnsi="Garamond" w:cs="Times New Roman"/>
                <w:b/>
                <w:bCs/>
                <w:color w:val="000000"/>
                <w:sz w:val="24"/>
                <w:szCs w:val="24"/>
                <w:lang w:eastAsia="hr-HR"/>
              </w:rPr>
              <w:t>IZVORI</w:t>
            </w:r>
          </w:p>
          <w:p w14:paraId="4EC74DC7"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p>
          <w:p w14:paraId="4EFFA954"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p>
        </w:tc>
        <w:tc>
          <w:tcPr>
            <w:tcW w:w="2731" w:type="dxa"/>
            <w:shd w:val="clear" w:color="auto" w:fill="DBE5F1"/>
            <w:noWrap/>
            <w:vAlign w:val="center"/>
            <w:hideMark/>
          </w:tcPr>
          <w:p w14:paraId="410FD3C8"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r w:rsidRPr="00EB465B">
              <w:rPr>
                <w:rFonts w:ascii="Garamond" w:eastAsia="Times New Roman" w:hAnsi="Garamond" w:cs="Times New Roman"/>
                <w:b/>
                <w:bCs/>
                <w:color w:val="000000"/>
                <w:sz w:val="24"/>
                <w:szCs w:val="24"/>
                <w:lang w:eastAsia="hr-HR"/>
              </w:rPr>
              <w:t>NAZIV</w:t>
            </w:r>
          </w:p>
        </w:tc>
        <w:tc>
          <w:tcPr>
            <w:tcW w:w="1843" w:type="dxa"/>
            <w:shd w:val="clear" w:color="auto" w:fill="DBE5F1"/>
            <w:vAlign w:val="center"/>
            <w:hideMark/>
          </w:tcPr>
          <w:p w14:paraId="173C7873"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r w:rsidRPr="00EB465B">
              <w:rPr>
                <w:rFonts w:ascii="Garamond" w:eastAsia="Times New Roman" w:hAnsi="Garamond" w:cs="Times New Roman"/>
                <w:b/>
                <w:bCs/>
                <w:color w:val="000000"/>
                <w:sz w:val="24"/>
                <w:szCs w:val="24"/>
                <w:lang w:eastAsia="hr-HR"/>
              </w:rPr>
              <w:t>VIŠAK/MANJAK PRIHODA POSLOVANJA</w:t>
            </w:r>
          </w:p>
        </w:tc>
        <w:tc>
          <w:tcPr>
            <w:tcW w:w="1984" w:type="dxa"/>
            <w:shd w:val="clear" w:color="auto" w:fill="DBE5F1"/>
            <w:vAlign w:val="center"/>
            <w:hideMark/>
          </w:tcPr>
          <w:p w14:paraId="05E5909F"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r w:rsidRPr="00EB465B">
              <w:rPr>
                <w:rFonts w:ascii="Garamond" w:eastAsia="Times New Roman" w:hAnsi="Garamond" w:cs="Times New Roman"/>
                <w:b/>
                <w:bCs/>
                <w:color w:val="000000"/>
                <w:sz w:val="24"/>
                <w:szCs w:val="24"/>
                <w:lang w:eastAsia="hr-HR"/>
              </w:rPr>
              <w:t>MANJAK/VIŠAK PRIHODA OD NEFINANCIJSKE IMOVINE</w:t>
            </w:r>
          </w:p>
        </w:tc>
        <w:tc>
          <w:tcPr>
            <w:tcW w:w="1843" w:type="dxa"/>
            <w:shd w:val="clear" w:color="auto" w:fill="DBE5F1"/>
            <w:vAlign w:val="center"/>
            <w:hideMark/>
          </w:tcPr>
          <w:p w14:paraId="52E9EA1E" w14:textId="77777777" w:rsidR="00EB465B" w:rsidRPr="00EB465B" w:rsidRDefault="00EB465B" w:rsidP="00EB465B">
            <w:pPr>
              <w:spacing w:after="0" w:line="240" w:lineRule="auto"/>
              <w:jc w:val="center"/>
              <w:rPr>
                <w:rFonts w:ascii="Garamond" w:eastAsia="Times New Roman" w:hAnsi="Garamond" w:cs="Times New Roman"/>
                <w:b/>
                <w:bCs/>
                <w:color w:val="000000"/>
                <w:sz w:val="24"/>
                <w:szCs w:val="24"/>
                <w:lang w:eastAsia="hr-HR"/>
              </w:rPr>
            </w:pPr>
            <w:r w:rsidRPr="00EB465B">
              <w:rPr>
                <w:rFonts w:ascii="Garamond" w:eastAsia="Times New Roman" w:hAnsi="Garamond" w:cs="Times New Roman"/>
                <w:b/>
                <w:bCs/>
                <w:color w:val="000000"/>
                <w:sz w:val="24"/>
                <w:szCs w:val="24"/>
                <w:lang w:eastAsia="hr-HR"/>
              </w:rPr>
              <w:t>MANJAK/VIŠAK PRIMITAKA OD FINANCIJSKE IMOVINE</w:t>
            </w:r>
          </w:p>
        </w:tc>
      </w:tr>
      <w:tr w:rsidR="00EB465B" w:rsidRPr="00EB465B" w14:paraId="1E19B867" w14:textId="77777777" w:rsidTr="00871DE9">
        <w:trPr>
          <w:trHeight w:val="300"/>
        </w:trPr>
        <w:tc>
          <w:tcPr>
            <w:tcW w:w="950" w:type="dxa"/>
            <w:noWrap/>
            <w:vAlign w:val="bottom"/>
            <w:hideMark/>
          </w:tcPr>
          <w:p w14:paraId="6829D137" w14:textId="77777777" w:rsidR="00EB465B" w:rsidRPr="00EB465B" w:rsidRDefault="00EB465B" w:rsidP="00EB465B">
            <w:pPr>
              <w:spacing w:after="0" w:line="240" w:lineRule="auto"/>
              <w:jc w:val="center"/>
              <w:rPr>
                <w:rFonts w:ascii="Garamond" w:eastAsia="Times New Roman" w:hAnsi="Garamond" w:cs="Times New Roman"/>
                <w:color w:val="000000"/>
                <w:sz w:val="24"/>
                <w:szCs w:val="24"/>
                <w:lang w:eastAsia="hr-HR"/>
              </w:rPr>
            </w:pPr>
            <w:r w:rsidRPr="00EB465B">
              <w:rPr>
                <w:rFonts w:ascii="Garamond" w:eastAsia="Times New Roman" w:hAnsi="Garamond" w:cs="Times New Roman"/>
                <w:color w:val="000000"/>
                <w:sz w:val="24"/>
                <w:szCs w:val="24"/>
                <w:lang w:eastAsia="hr-HR"/>
              </w:rPr>
              <w:t>11</w:t>
            </w:r>
          </w:p>
        </w:tc>
        <w:tc>
          <w:tcPr>
            <w:tcW w:w="2731" w:type="dxa"/>
            <w:noWrap/>
            <w:vAlign w:val="bottom"/>
            <w:hideMark/>
          </w:tcPr>
          <w:p w14:paraId="274C0AF7" w14:textId="77777777" w:rsidR="00EB465B" w:rsidRPr="00EB465B" w:rsidRDefault="00EB465B" w:rsidP="00EB465B">
            <w:pPr>
              <w:spacing w:after="0" w:line="240" w:lineRule="auto"/>
              <w:rPr>
                <w:rFonts w:ascii="Garamond" w:eastAsia="Times New Roman" w:hAnsi="Garamond" w:cs="Times New Roman"/>
                <w:color w:val="000000"/>
                <w:sz w:val="24"/>
                <w:szCs w:val="24"/>
                <w:lang w:eastAsia="hr-HR"/>
              </w:rPr>
            </w:pPr>
            <w:r w:rsidRPr="00EB465B">
              <w:rPr>
                <w:rFonts w:ascii="Garamond" w:eastAsia="Times New Roman" w:hAnsi="Garamond" w:cs="Times New Roman"/>
                <w:color w:val="000000"/>
                <w:sz w:val="24"/>
                <w:szCs w:val="24"/>
                <w:lang w:eastAsia="hr-HR"/>
              </w:rPr>
              <w:t xml:space="preserve">Opći prihodi i primici </w:t>
            </w:r>
          </w:p>
        </w:tc>
        <w:tc>
          <w:tcPr>
            <w:tcW w:w="1843" w:type="dxa"/>
            <w:shd w:val="clear" w:color="000000" w:fill="FFFFFF"/>
            <w:noWrap/>
            <w:vAlign w:val="bottom"/>
          </w:tcPr>
          <w:p w14:paraId="2B4D735C"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653.179,47</w:t>
            </w:r>
          </w:p>
        </w:tc>
        <w:tc>
          <w:tcPr>
            <w:tcW w:w="1984" w:type="dxa"/>
            <w:noWrap/>
            <w:vAlign w:val="bottom"/>
          </w:tcPr>
          <w:p w14:paraId="554F4ACA"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-520.928,79</w:t>
            </w:r>
          </w:p>
        </w:tc>
        <w:tc>
          <w:tcPr>
            <w:tcW w:w="1843" w:type="dxa"/>
            <w:noWrap/>
            <w:vAlign w:val="bottom"/>
          </w:tcPr>
          <w:p w14:paraId="5DF51454"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-59.356,45</w:t>
            </w:r>
          </w:p>
        </w:tc>
      </w:tr>
      <w:tr w:rsidR="00EB465B" w:rsidRPr="00EB465B" w14:paraId="2C871D79" w14:textId="77777777" w:rsidTr="00871DE9">
        <w:trPr>
          <w:trHeight w:val="300"/>
        </w:trPr>
        <w:tc>
          <w:tcPr>
            <w:tcW w:w="950" w:type="dxa"/>
            <w:noWrap/>
            <w:vAlign w:val="bottom"/>
          </w:tcPr>
          <w:p w14:paraId="5BC411BF" w14:textId="77777777" w:rsidR="00EB465B" w:rsidRPr="00EB465B" w:rsidRDefault="00EB465B" w:rsidP="00EB465B">
            <w:pPr>
              <w:spacing w:after="0" w:line="240" w:lineRule="auto"/>
              <w:jc w:val="center"/>
              <w:rPr>
                <w:rFonts w:ascii="Garamond" w:eastAsia="Times New Roman" w:hAnsi="Garamond" w:cs="Times New Roman"/>
                <w:color w:val="000000"/>
                <w:sz w:val="24"/>
                <w:szCs w:val="24"/>
                <w:lang w:eastAsia="hr-HR"/>
              </w:rPr>
            </w:pPr>
            <w:r w:rsidRPr="00EB465B">
              <w:rPr>
                <w:rFonts w:ascii="Garamond" w:eastAsia="Times New Roman" w:hAnsi="Garamond" w:cs="Times New Roman"/>
                <w:color w:val="000000"/>
                <w:sz w:val="24"/>
                <w:szCs w:val="24"/>
                <w:lang w:eastAsia="hr-HR"/>
              </w:rPr>
              <w:t>119</w:t>
            </w:r>
          </w:p>
        </w:tc>
        <w:tc>
          <w:tcPr>
            <w:tcW w:w="2731" w:type="dxa"/>
            <w:noWrap/>
            <w:vAlign w:val="bottom"/>
          </w:tcPr>
          <w:p w14:paraId="0BE9AD6C" w14:textId="77777777" w:rsidR="00EB465B" w:rsidRPr="00EB465B" w:rsidRDefault="00EB465B" w:rsidP="00EB465B">
            <w:pPr>
              <w:spacing w:after="0" w:line="240" w:lineRule="auto"/>
              <w:rPr>
                <w:rFonts w:ascii="Garamond" w:eastAsia="Times New Roman" w:hAnsi="Garamond" w:cs="Times New Roman"/>
                <w:color w:val="000000"/>
                <w:sz w:val="24"/>
                <w:szCs w:val="24"/>
                <w:lang w:eastAsia="hr-HR"/>
              </w:rPr>
            </w:pPr>
            <w:r w:rsidRPr="00EB465B">
              <w:rPr>
                <w:rFonts w:ascii="Garamond" w:eastAsia="Times New Roman" w:hAnsi="Garamond" w:cs="Times New Roman"/>
                <w:color w:val="000000"/>
                <w:sz w:val="24"/>
                <w:szCs w:val="24"/>
                <w:lang w:eastAsia="hr-HR"/>
              </w:rPr>
              <w:t>Preneseni višak OPP</w:t>
            </w:r>
          </w:p>
        </w:tc>
        <w:tc>
          <w:tcPr>
            <w:tcW w:w="1843" w:type="dxa"/>
            <w:shd w:val="clear" w:color="000000" w:fill="FFFFFF"/>
            <w:noWrap/>
            <w:vAlign w:val="bottom"/>
          </w:tcPr>
          <w:p w14:paraId="1EAEC454"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1.390.291,32</w:t>
            </w:r>
          </w:p>
        </w:tc>
        <w:tc>
          <w:tcPr>
            <w:tcW w:w="1984" w:type="dxa"/>
            <w:noWrap/>
            <w:vAlign w:val="bottom"/>
          </w:tcPr>
          <w:p w14:paraId="31AE97EB"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c>
          <w:tcPr>
            <w:tcW w:w="1843" w:type="dxa"/>
            <w:noWrap/>
            <w:vAlign w:val="bottom"/>
          </w:tcPr>
          <w:p w14:paraId="1206DE34"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63F5C716" w14:textId="77777777" w:rsidTr="00871DE9">
        <w:trPr>
          <w:trHeight w:val="300"/>
        </w:trPr>
        <w:tc>
          <w:tcPr>
            <w:tcW w:w="950" w:type="dxa"/>
            <w:noWrap/>
            <w:vAlign w:val="bottom"/>
            <w:hideMark/>
          </w:tcPr>
          <w:p w14:paraId="568287B8"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52</w:t>
            </w:r>
          </w:p>
        </w:tc>
        <w:tc>
          <w:tcPr>
            <w:tcW w:w="2731" w:type="dxa"/>
            <w:noWrap/>
            <w:vAlign w:val="bottom"/>
            <w:hideMark/>
          </w:tcPr>
          <w:p w14:paraId="689D72BC"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Pomoći</w:t>
            </w:r>
          </w:p>
        </w:tc>
        <w:tc>
          <w:tcPr>
            <w:tcW w:w="1843" w:type="dxa"/>
            <w:shd w:val="clear" w:color="000000" w:fill="FFFFFF"/>
            <w:noWrap/>
            <w:vAlign w:val="bottom"/>
          </w:tcPr>
          <w:p w14:paraId="7B478EC7"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84.841,26</w:t>
            </w:r>
          </w:p>
        </w:tc>
        <w:tc>
          <w:tcPr>
            <w:tcW w:w="1984" w:type="dxa"/>
            <w:noWrap/>
            <w:vAlign w:val="bottom"/>
          </w:tcPr>
          <w:p w14:paraId="033D6B7F"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c>
          <w:tcPr>
            <w:tcW w:w="1843" w:type="dxa"/>
            <w:noWrap/>
            <w:vAlign w:val="bottom"/>
          </w:tcPr>
          <w:p w14:paraId="66519CB5"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69317568" w14:textId="77777777" w:rsidTr="00871DE9">
        <w:trPr>
          <w:trHeight w:val="300"/>
        </w:trPr>
        <w:tc>
          <w:tcPr>
            <w:tcW w:w="950" w:type="dxa"/>
            <w:noWrap/>
            <w:vAlign w:val="bottom"/>
          </w:tcPr>
          <w:p w14:paraId="66E38715"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529</w:t>
            </w:r>
          </w:p>
        </w:tc>
        <w:tc>
          <w:tcPr>
            <w:tcW w:w="2731" w:type="dxa"/>
            <w:noWrap/>
            <w:vAlign w:val="bottom"/>
          </w:tcPr>
          <w:p w14:paraId="41C226A4"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Preneseni višak pomoći</w:t>
            </w:r>
          </w:p>
        </w:tc>
        <w:tc>
          <w:tcPr>
            <w:tcW w:w="1843" w:type="dxa"/>
            <w:noWrap/>
            <w:vAlign w:val="bottom"/>
          </w:tcPr>
          <w:p w14:paraId="50513EA3"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30.139,61</w:t>
            </w:r>
          </w:p>
        </w:tc>
        <w:tc>
          <w:tcPr>
            <w:tcW w:w="1984" w:type="dxa"/>
            <w:noWrap/>
            <w:vAlign w:val="bottom"/>
          </w:tcPr>
          <w:p w14:paraId="57DCE3FB" w14:textId="77777777" w:rsidR="00EB465B" w:rsidRPr="00EB465B" w:rsidRDefault="00EB465B" w:rsidP="00EB465B">
            <w:pPr>
              <w:spacing w:after="0" w:line="240" w:lineRule="auto"/>
              <w:jc w:val="right"/>
              <w:rPr>
                <w:rFonts w:ascii="Garamond" w:eastAsia="Times New Roman" w:hAnsi="Garamond" w:cs="Times New Roman"/>
                <w:sz w:val="24"/>
                <w:szCs w:val="24"/>
              </w:rPr>
            </w:pPr>
            <w:r w:rsidRPr="00EB465B">
              <w:rPr>
                <w:rFonts w:ascii="Garamond" w:eastAsia="Times New Roman" w:hAnsi="Garamond" w:cs="Times New Roman"/>
                <w:sz w:val="24"/>
                <w:szCs w:val="24"/>
              </w:rPr>
              <w:t>0,00</w:t>
            </w:r>
          </w:p>
        </w:tc>
        <w:tc>
          <w:tcPr>
            <w:tcW w:w="1843" w:type="dxa"/>
            <w:noWrap/>
            <w:vAlign w:val="bottom"/>
          </w:tcPr>
          <w:p w14:paraId="5022FC2F"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-97.122,30</w:t>
            </w:r>
          </w:p>
        </w:tc>
      </w:tr>
      <w:tr w:rsidR="00EB465B" w:rsidRPr="00EB465B" w14:paraId="17D43884" w14:textId="77777777" w:rsidTr="00871DE9">
        <w:trPr>
          <w:trHeight w:val="300"/>
        </w:trPr>
        <w:tc>
          <w:tcPr>
            <w:tcW w:w="950" w:type="dxa"/>
            <w:noWrap/>
            <w:vAlign w:val="bottom"/>
            <w:hideMark/>
          </w:tcPr>
          <w:p w14:paraId="29720AEC"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421</w:t>
            </w:r>
          </w:p>
        </w:tc>
        <w:tc>
          <w:tcPr>
            <w:tcW w:w="2731" w:type="dxa"/>
            <w:noWrap/>
            <w:vAlign w:val="bottom"/>
            <w:hideMark/>
          </w:tcPr>
          <w:p w14:paraId="1719C80B"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Naknada za LNG</w:t>
            </w:r>
          </w:p>
        </w:tc>
        <w:tc>
          <w:tcPr>
            <w:tcW w:w="1843" w:type="dxa"/>
            <w:noWrap/>
            <w:vAlign w:val="bottom"/>
          </w:tcPr>
          <w:p w14:paraId="531C0C56"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130.499,30</w:t>
            </w:r>
          </w:p>
        </w:tc>
        <w:tc>
          <w:tcPr>
            <w:tcW w:w="1984" w:type="dxa"/>
            <w:noWrap/>
            <w:vAlign w:val="bottom"/>
          </w:tcPr>
          <w:p w14:paraId="76121DE0"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-130.499,30</w:t>
            </w:r>
          </w:p>
        </w:tc>
        <w:tc>
          <w:tcPr>
            <w:tcW w:w="1843" w:type="dxa"/>
            <w:noWrap/>
            <w:vAlign w:val="bottom"/>
          </w:tcPr>
          <w:p w14:paraId="30110406"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454915F2" w14:textId="77777777" w:rsidTr="00871DE9">
        <w:trPr>
          <w:trHeight w:val="300"/>
        </w:trPr>
        <w:tc>
          <w:tcPr>
            <w:tcW w:w="950" w:type="dxa"/>
            <w:noWrap/>
            <w:vAlign w:val="bottom"/>
          </w:tcPr>
          <w:p w14:paraId="4388EDBB"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423</w:t>
            </w:r>
          </w:p>
        </w:tc>
        <w:tc>
          <w:tcPr>
            <w:tcW w:w="2731" w:type="dxa"/>
            <w:noWrap/>
            <w:vAlign w:val="bottom"/>
          </w:tcPr>
          <w:p w14:paraId="7714E73D"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Spomenička renta</w:t>
            </w:r>
          </w:p>
        </w:tc>
        <w:tc>
          <w:tcPr>
            <w:tcW w:w="1843" w:type="dxa"/>
            <w:noWrap/>
            <w:vAlign w:val="bottom"/>
          </w:tcPr>
          <w:p w14:paraId="77F7F3DC"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8.162,28</w:t>
            </w:r>
          </w:p>
        </w:tc>
        <w:tc>
          <w:tcPr>
            <w:tcW w:w="1984" w:type="dxa"/>
            <w:noWrap/>
            <w:vAlign w:val="bottom"/>
          </w:tcPr>
          <w:p w14:paraId="7E5343EB"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-8.162,28</w:t>
            </w:r>
          </w:p>
        </w:tc>
        <w:tc>
          <w:tcPr>
            <w:tcW w:w="1843" w:type="dxa"/>
            <w:noWrap/>
            <w:vAlign w:val="bottom"/>
          </w:tcPr>
          <w:p w14:paraId="5B617818"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4D2657B0" w14:textId="77777777" w:rsidTr="00871DE9">
        <w:trPr>
          <w:trHeight w:val="300"/>
        </w:trPr>
        <w:tc>
          <w:tcPr>
            <w:tcW w:w="950" w:type="dxa"/>
            <w:noWrap/>
            <w:vAlign w:val="bottom"/>
            <w:hideMark/>
          </w:tcPr>
          <w:p w14:paraId="1FDBCDF7"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431</w:t>
            </w:r>
          </w:p>
        </w:tc>
        <w:tc>
          <w:tcPr>
            <w:tcW w:w="2731" w:type="dxa"/>
            <w:noWrap/>
            <w:vAlign w:val="bottom"/>
            <w:hideMark/>
          </w:tcPr>
          <w:p w14:paraId="4E794988"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Komunalni doprinos</w:t>
            </w:r>
          </w:p>
        </w:tc>
        <w:tc>
          <w:tcPr>
            <w:tcW w:w="1843" w:type="dxa"/>
            <w:noWrap/>
            <w:vAlign w:val="bottom"/>
          </w:tcPr>
          <w:p w14:paraId="1E06C737"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432.253,28</w:t>
            </w:r>
          </w:p>
        </w:tc>
        <w:tc>
          <w:tcPr>
            <w:tcW w:w="1984" w:type="dxa"/>
            <w:noWrap/>
            <w:vAlign w:val="bottom"/>
          </w:tcPr>
          <w:p w14:paraId="05155689"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-432.253,28</w:t>
            </w:r>
          </w:p>
        </w:tc>
        <w:tc>
          <w:tcPr>
            <w:tcW w:w="1843" w:type="dxa"/>
            <w:noWrap/>
            <w:vAlign w:val="bottom"/>
          </w:tcPr>
          <w:p w14:paraId="1EA5792C"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595DE3A6" w14:textId="77777777" w:rsidTr="00871DE9">
        <w:trPr>
          <w:trHeight w:val="300"/>
        </w:trPr>
        <w:tc>
          <w:tcPr>
            <w:tcW w:w="950" w:type="dxa"/>
            <w:noWrap/>
            <w:vAlign w:val="bottom"/>
            <w:hideMark/>
          </w:tcPr>
          <w:p w14:paraId="52FED872"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432</w:t>
            </w:r>
          </w:p>
        </w:tc>
        <w:tc>
          <w:tcPr>
            <w:tcW w:w="2731" w:type="dxa"/>
            <w:noWrap/>
            <w:vAlign w:val="bottom"/>
            <w:hideMark/>
          </w:tcPr>
          <w:p w14:paraId="15C281A1"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Komunalna naknada</w:t>
            </w:r>
          </w:p>
        </w:tc>
        <w:tc>
          <w:tcPr>
            <w:tcW w:w="1843" w:type="dxa"/>
            <w:noWrap/>
            <w:vAlign w:val="bottom"/>
          </w:tcPr>
          <w:p w14:paraId="61F3CCC3"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34.391,50</w:t>
            </w:r>
          </w:p>
        </w:tc>
        <w:tc>
          <w:tcPr>
            <w:tcW w:w="1984" w:type="dxa"/>
            <w:noWrap/>
            <w:vAlign w:val="bottom"/>
          </w:tcPr>
          <w:p w14:paraId="6103356C"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-34.391,50</w:t>
            </w:r>
          </w:p>
        </w:tc>
        <w:tc>
          <w:tcPr>
            <w:tcW w:w="1843" w:type="dxa"/>
            <w:noWrap/>
            <w:vAlign w:val="bottom"/>
          </w:tcPr>
          <w:p w14:paraId="53254F3E"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2A4C1FFC" w14:textId="77777777" w:rsidTr="00871DE9">
        <w:trPr>
          <w:trHeight w:val="300"/>
        </w:trPr>
        <w:tc>
          <w:tcPr>
            <w:tcW w:w="950" w:type="dxa"/>
            <w:noWrap/>
            <w:vAlign w:val="bottom"/>
          </w:tcPr>
          <w:p w14:paraId="01F34740"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433</w:t>
            </w:r>
          </w:p>
        </w:tc>
        <w:tc>
          <w:tcPr>
            <w:tcW w:w="2731" w:type="dxa"/>
            <w:noWrap/>
            <w:vAlign w:val="bottom"/>
          </w:tcPr>
          <w:p w14:paraId="6D0123F6"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Naknada za legalizaciju</w:t>
            </w:r>
          </w:p>
        </w:tc>
        <w:tc>
          <w:tcPr>
            <w:tcW w:w="1843" w:type="dxa"/>
            <w:noWrap/>
            <w:vAlign w:val="bottom"/>
          </w:tcPr>
          <w:p w14:paraId="5FCD79AC"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1.625,41</w:t>
            </w:r>
          </w:p>
        </w:tc>
        <w:tc>
          <w:tcPr>
            <w:tcW w:w="1984" w:type="dxa"/>
            <w:noWrap/>
            <w:vAlign w:val="bottom"/>
          </w:tcPr>
          <w:p w14:paraId="68C19C37"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-1.625,41</w:t>
            </w:r>
          </w:p>
        </w:tc>
        <w:tc>
          <w:tcPr>
            <w:tcW w:w="1843" w:type="dxa"/>
            <w:noWrap/>
            <w:vAlign w:val="bottom"/>
          </w:tcPr>
          <w:p w14:paraId="6692D6ED"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5E054B06" w14:textId="77777777" w:rsidTr="00871DE9">
        <w:trPr>
          <w:trHeight w:val="300"/>
        </w:trPr>
        <w:tc>
          <w:tcPr>
            <w:tcW w:w="950" w:type="dxa"/>
            <w:noWrap/>
            <w:vAlign w:val="bottom"/>
            <w:hideMark/>
          </w:tcPr>
          <w:p w14:paraId="4573D0E0"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437</w:t>
            </w:r>
          </w:p>
        </w:tc>
        <w:tc>
          <w:tcPr>
            <w:tcW w:w="2731" w:type="dxa"/>
            <w:noWrap/>
            <w:vAlign w:val="bottom"/>
            <w:hideMark/>
          </w:tcPr>
          <w:p w14:paraId="07210269"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Koncesije - ostale</w:t>
            </w:r>
          </w:p>
        </w:tc>
        <w:tc>
          <w:tcPr>
            <w:tcW w:w="1843" w:type="dxa"/>
            <w:noWrap/>
            <w:vAlign w:val="bottom"/>
          </w:tcPr>
          <w:p w14:paraId="1866323D"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83,33</w:t>
            </w:r>
          </w:p>
        </w:tc>
        <w:tc>
          <w:tcPr>
            <w:tcW w:w="1984" w:type="dxa"/>
            <w:noWrap/>
            <w:vAlign w:val="bottom"/>
          </w:tcPr>
          <w:p w14:paraId="23A21B90"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-83,33</w:t>
            </w:r>
          </w:p>
        </w:tc>
        <w:tc>
          <w:tcPr>
            <w:tcW w:w="1843" w:type="dxa"/>
            <w:noWrap/>
            <w:vAlign w:val="bottom"/>
          </w:tcPr>
          <w:p w14:paraId="1D082F24"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4488E9FC" w14:textId="77777777" w:rsidTr="00871DE9">
        <w:trPr>
          <w:trHeight w:val="300"/>
        </w:trPr>
        <w:tc>
          <w:tcPr>
            <w:tcW w:w="950" w:type="dxa"/>
            <w:noWrap/>
            <w:vAlign w:val="bottom"/>
            <w:hideMark/>
          </w:tcPr>
          <w:p w14:paraId="0C1C01F2"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71</w:t>
            </w:r>
          </w:p>
        </w:tc>
        <w:tc>
          <w:tcPr>
            <w:tcW w:w="2731" w:type="dxa"/>
            <w:noWrap/>
            <w:vAlign w:val="bottom"/>
            <w:hideMark/>
          </w:tcPr>
          <w:p w14:paraId="29834F72" w14:textId="21276D93"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Prihodi od prodaje nef.</w:t>
            </w:r>
            <w:r w:rsidR="00E33A16">
              <w:rPr>
                <w:rFonts w:ascii="Garamond" w:eastAsia="Times New Roman" w:hAnsi="Garamond" w:cs="Times New Roman"/>
                <w:sz w:val="24"/>
                <w:szCs w:val="24"/>
                <w:lang w:eastAsia="hr-HR"/>
              </w:rPr>
              <w:t xml:space="preserve"> </w:t>
            </w:r>
            <w:r w:rsidRPr="00EB465B">
              <w:rPr>
                <w:rFonts w:ascii="Garamond" w:eastAsia="Times New Roman" w:hAnsi="Garamond" w:cs="Times New Roman"/>
                <w:sz w:val="24"/>
                <w:szCs w:val="24"/>
                <w:lang w:eastAsia="hr-HR"/>
              </w:rPr>
              <w:t>imovine</w:t>
            </w:r>
          </w:p>
        </w:tc>
        <w:tc>
          <w:tcPr>
            <w:tcW w:w="1843" w:type="dxa"/>
            <w:noWrap/>
            <w:vAlign w:val="bottom"/>
          </w:tcPr>
          <w:p w14:paraId="2D8B9A89"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-262,58</w:t>
            </w:r>
          </w:p>
        </w:tc>
        <w:tc>
          <w:tcPr>
            <w:tcW w:w="1984" w:type="dxa"/>
            <w:noWrap/>
            <w:vAlign w:val="bottom"/>
          </w:tcPr>
          <w:p w14:paraId="5FB4569B"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262,58</w:t>
            </w:r>
          </w:p>
        </w:tc>
        <w:tc>
          <w:tcPr>
            <w:tcW w:w="1843" w:type="dxa"/>
            <w:noWrap/>
            <w:vAlign w:val="bottom"/>
          </w:tcPr>
          <w:p w14:paraId="246B542C"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r>
      <w:tr w:rsidR="00EB465B" w:rsidRPr="00EB465B" w14:paraId="08BEE173" w14:textId="77777777" w:rsidTr="00871DE9">
        <w:trPr>
          <w:trHeight w:val="300"/>
        </w:trPr>
        <w:tc>
          <w:tcPr>
            <w:tcW w:w="950" w:type="dxa"/>
            <w:noWrap/>
            <w:vAlign w:val="bottom"/>
          </w:tcPr>
          <w:p w14:paraId="538545C2"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81</w:t>
            </w:r>
          </w:p>
        </w:tc>
        <w:tc>
          <w:tcPr>
            <w:tcW w:w="2731" w:type="dxa"/>
            <w:noWrap/>
            <w:vAlign w:val="bottom"/>
          </w:tcPr>
          <w:p w14:paraId="3AD1FBD1" w14:textId="77777777" w:rsidR="00EB465B" w:rsidRPr="00EB465B" w:rsidRDefault="00EB465B" w:rsidP="00EB465B">
            <w:pPr>
              <w:spacing w:after="0" w:line="240" w:lineRule="auto"/>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Namjenski primici  -  APN</w:t>
            </w:r>
          </w:p>
        </w:tc>
        <w:tc>
          <w:tcPr>
            <w:tcW w:w="1843" w:type="dxa"/>
            <w:noWrap/>
            <w:vAlign w:val="bottom"/>
          </w:tcPr>
          <w:p w14:paraId="24B660B0"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0,00</w:t>
            </w:r>
          </w:p>
        </w:tc>
        <w:tc>
          <w:tcPr>
            <w:tcW w:w="1984" w:type="dxa"/>
            <w:noWrap/>
            <w:vAlign w:val="bottom"/>
          </w:tcPr>
          <w:p w14:paraId="03A7F8AA"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-9.628,11</w:t>
            </w:r>
          </w:p>
        </w:tc>
        <w:tc>
          <w:tcPr>
            <w:tcW w:w="1843" w:type="dxa"/>
            <w:noWrap/>
            <w:vAlign w:val="bottom"/>
          </w:tcPr>
          <w:p w14:paraId="5DFB3220" w14:textId="77777777" w:rsidR="00EB465B" w:rsidRPr="00EB465B" w:rsidRDefault="00EB465B" w:rsidP="00EB465B">
            <w:pPr>
              <w:spacing w:after="0" w:line="240" w:lineRule="auto"/>
              <w:jc w:val="right"/>
              <w:rPr>
                <w:rFonts w:ascii="Garamond" w:eastAsia="Times New Roman" w:hAnsi="Garamond" w:cs="Times New Roman"/>
                <w:sz w:val="24"/>
                <w:szCs w:val="24"/>
                <w:lang w:eastAsia="hr-HR"/>
              </w:rPr>
            </w:pPr>
            <w:r w:rsidRPr="00EB465B">
              <w:rPr>
                <w:rFonts w:ascii="Garamond" w:eastAsia="Times New Roman" w:hAnsi="Garamond" w:cs="Times New Roman"/>
                <w:sz w:val="24"/>
                <w:szCs w:val="24"/>
                <w:lang w:eastAsia="hr-HR"/>
              </w:rPr>
              <w:t>9.628,11</w:t>
            </w:r>
          </w:p>
        </w:tc>
      </w:tr>
      <w:tr w:rsidR="00EB465B" w:rsidRPr="00EB465B" w14:paraId="0F4D1FF1" w14:textId="77777777" w:rsidTr="00871DE9">
        <w:trPr>
          <w:trHeight w:val="300"/>
        </w:trPr>
        <w:tc>
          <w:tcPr>
            <w:tcW w:w="950" w:type="dxa"/>
            <w:noWrap/>
            <w:vAlign w:val="bottom"/>
          </w:tcPr>
          <w:p w14:paraId="1DDBBADE" w14:textId="77777777" w:rsidR="00EB465B" w:rsidRPr="00EB465B" w:rsidRDefault="00EB465B" w:rsidP="00EB465B">
            <w:pPr>
              <w:spacing w:after="0" w:line="240" w:lineRule="auto"/>
              <w:jc w:val="center"/>
              <w:rPr>
                <w:rFonts w:ascii="Garamond" w:eastAsia="Times New Roman" w:hAnsi="Garamond" w:cs="Times New Roman"/>
                <w:sz w:val="24"/>
                <w:szCs w:val="24"/>
                <w:lang w:eastAsia="hr-HR"/>
              </w:rPr>
            </w:pPr>
          </w:p>
        </w:tc>
        <w:tc>
          <w:tcPr>
            <w:tcW w:w="2731" w:type="dxa"/>
            <w:noWrap/>
            <w:vAlign w:val="bottom"/>
          </w:tcPr>
          <w:p w14:paraId="119C9212" w14:textId="77777777" w:rsidR="00EB465B" w:rsidRPr="00EB465B" w:rsidRDefault="00EB465B" w:rsidP="00EB465B">
            <w:pPr>
              <w:spacing w:after="0" w:line="240" w:lineRule="auto"/>
              <w:rPr>
                <w:rFonts w:ascii="Garamond" w:eastAsia="Times New Roman" w:hAnsi="Garamond" w:cs="Times New Roman"/>
                <w:b/>
                <w:bCs/>
                <w:sz w:val="24"/>
                <w:szCs w:val="24"/>
                <w:lang w:eastAsia="hr-HR"/>
              </w:rPr>
            </w:pPr>
            <w:r w:rsidRPr="00EB465B">
              <w:rPr>
                <w:rFonts w:ascii="Garamond" w:eastAsia="Times New Roman" w:hAnsi="Garamond" w:cs="Times New Roman"/>
                <w:b/>
                <w:bCs/>
                <w:sz w:val="24"/>
                <w:szCs w:val="24"/>
                <w:lang w:eastAsia="hr-HR"/>
              </w:rPr>
              <w:t>UKUPNO:</w:t>
            </w:r>
          </w:p>
        </w:tc>
        <w:tc>
          <w:tcPr>
            <w:tcW w:w="1843" w:type="dxa"/>
            <w:noWrap/>
            <w:vAlign w:val="bottom"/>
          </w:tcPr>
          <w:p w14:paraId="3E9C7197" w14:textId="77777777" w:rsidR="00EB465B" w:rsidRPr="00EB465B" w:rsidRDefault="00EB465B" w:rsidP="00EB465B">
            <w:pPr>
              <w:spacing w:after="0" w:line="240" w:lineRule="auto"/>
              <w:jc w:val="right"/>
              <w:rPr>
                <w:rFonts w:ascii="Garamond" w:eastAsia="Times New Roman" w:hAnsi="Garamond" w:cs="Times New Roman"/>
                <w:b/>
                <w:bCs/>
                <w:sz w:val="24"/>
                <w:szCs w:val="24"/>
                <w:lang w:eastAsia="hr-HR"/>
              </w:rPr>
            </w:pPr>
            <w:r w:rsidRPr="00EB465B">
              <w:rPr>
                <w:rFonts w:ascii="Garamond" w:eastAsia="Times New Roman" w:hAnsi="Garamond" w:cs="Times New Roman"/>
                <w:b/>
                <w:bCs/>
                <w:sz w:val="24"/>
                <w:szCs w:val="24"/>
                <w:lang w:eastAsia="hr-HR"/>
              </w:rPr>
              <w:t>2.765.204,18</w:t>
            </w:r>
            <w:r w:rsidRPr="00EB465B">
              <w:rPr>
                <w:rFonts w:ascii="Garamond" w:eastAsia="Times New Roman" w:hAnsi="Garamond" w:cs="Times New Roman"/>
                <w:b/>
                <w:bCs/>
                <w:sz w:val="24"/>
                <w:szCs w:val="24"/>
                <w:lang w:eastAsia="hr-HR"/>
              </w:rPr>
              <w:fldChar w:fldCharType="begin"/>
            </w:r>
            <w:r w:rsidRPr="00EB465B">
              <w:rPr>
                <w:rFonts w:ascii="Garamond" w:eastAsia="Times New Roman" w:hAnsi="Garamond" w:cs="Times New Roman"/>
                <w:b/>
                <w:bCs/>
                <w:sz w:val="24"/>
                <w:szCs w:val="24"/>
                <w:lang w:eastAsia="hr-HR"/>
              </w:rPr>
              <w:instrText xml:space="preserve"> =SUM(ABOVE) </w:instrText>
            </w:r>
            <w:r w:rsidRPr="00EB465B">
              <w:rPr>
                <w:rFonts w:ascii="Garamond" w:eastAsia="Times New Roman" w:hAnsi="Garamond" w:cs="Times New Roman"/>
                <w:b/>
                <w:bCs/>
                <w:sz w:val="24"/>
                <w:szCs w:val="24"/>
                <w:lang w:eastAsia="hr-HR"/>
              </w:rPr>
              <w:fldChar w:fldCharType="separate"/>
            </w:r>
            <w:r w:rsidRPr="00EB465B">
              <w:rPr>
                <w:rFonts w:ascii="Garamond" w:eastAsia="Times New Roman" w:hAnsi="Garamond" w:cs="Times New Roman"/>
                <w:b/>
                <w:bCs/>
                <w:sz w:val="24"/>
                <w:szCs w:val="24"/>
                <w:lang w:eastAsia="hr-HR"/>
              </w:rPr>
              <w:fldChar w:fldCharType="end"/>
            </w:r>
          </w:p>
        </w:tc>
        <w:tc>
          <w:tcPr>
            <w:tcW w:w="1984" w:type="dxa"/>
            <w:noWrap/>
            <w:vAlign w:val="bottom"/>
          </w:tcPr>
          <w:p w14:paraId="12BE786A" w14:textId="77777777" w:rsidR="00EB465B" w:rsidRPr="00EB465B" w:rsidRDefault="00EB465B" w:rsidP="00EB465B">
            <w:pPr>
              <w:spacing w:after="0" w:line="240" w:lineRule="auto"/>
              <w:jc w:val="right"/>
              <w:rPr>
                <w:rFonts w:ascii="Garamond" w:eastAsia="Times New Roman" w:hAnsi="Garamond" w:cs="Times New Roman"/>
                <w:b/>
                <w:bCs/>
                <w:sz w:val="24"/>
                <w:szCs w:val="24"/>
                <w:lang w:eastAsia="hr-HR"/>
              </w:rPr>
            </w:pPr>
            <w:r w:rsidRPr="00EB465B">
              <w:rPr>
                <w:rFonts w:ascii="Garamond" w:eastAsia="Times New Roman" w:hAnsi="Garamond" w:cs="Times New Roman"/>
                <w:b/>
                <w:bCs/>
                <w:sz w:val="24"/>
                <w:szCs w:val="24"/>
                <w:lang w:eastAsia="hr-HR"/>
              </w:rPr>
              <w:fldChar w:fldCharType="begin"/>
            </w:r>
            <w:r w:rsidRPr="00EB465B">
              <w:rPr>
                <w:rFonts w:ascii="Garamond" w:eastAsia="Times New Roman" w:hAnsi="Garamond" w:cs="Times New Roman"/>
                <w:b/>
                <w:bCs/>
                <w:sz w:val="24"/>
                <w:szCs w:val="24"/>
                <w:lang w:eastAsia="hr-HR"/>
              </w:rPr>
              <w:instrText xml:space="preserve"> =SUM(ABOVE) </w:instrText>
            </w:r>
            <w:r w:rsidRPr="00EB465B">
              <w:rPr>
                <w:rFonts w:ascii="Garamond" w:eastAsia="Times New Roman" w:hAnsi="Garamond" w:cs="Times New Roman"/>
                <w:b/>
                <w:bCs/>
                <w:sz w:val="24"/>
                <w:szCs w:val="24"/>
                <w:lang w:eastAsia="hr-HR"/>
              </w:rPr>
              <w:fldChar w:fldCharType="separate"/>
            </w:r>
            <w:r w:rsidRPr="00EB465B">
              <w:rPr>
                <w:rFonts w:ascii="Garamond" w:eastAsia="Times New Roman" w:hAnsi="Garamond" w:cs="Times New Roman"/>
                <w:b/>
                <w:bCs/>
                <w:sz w:val="24"/>
                <w:szCs w:val="24"/>
                <w:lang w:eastAsia="hr-HR"/>
              </w:rPr>
              <w:t>-</w:t>
            </w:r>
            <w:r w:rsidRPr="00EB465B">
              <w:rPr>
                <w:rFonts w:ascii="Garamond" w:eastAsia="Times New Roman" w:hAnsi="Garamond" w:cs="Times New Roman"/>
                <w:b/>
                <w:bCs/>
                <w:sz w:val="24"/>
                <w:szCs w:val="24"/>
                <w:lang w:eastAsia="hr-HR"/>
              </w:rPr>
              <w:fldChar w:fldCharType="end"/>
            </w:r>
            <w:r w:rsidRPr="00EB465B">
              <w:rPr>
                <w:rFonts w:ascii="Garamond" w:eastAsia="Times New Roman" w:hAnsi="Garamond" w:cs="Times New Roman"/>
                <w:b/>
                <w:bCs/>
                <w:sz w:val="24"/>
                <w:szCs w:val="24"/>
                <w:lang w:eastAsia="hr-HR"/>
              </w:rPr>
              <w:t>1.137.309,42</w:t>
            </w:r>
          </w:p>
        </w:tc>
        <w:tc>
          <w:tcPr>
            <w:tcW w:w="1843" w:type="dxa"/>
            <w:noWrap/>
            <w:vAlign w:val="bottom"/>
          </w:tcPr>
          <w:p w14:paraId="301E23B8" w14:textId="77777777" w:rsidR="00EB465B" w:rsidRPr="00EB465B" w:rsidRDefault="00EB465B" w:rsidP="00EB465B">
            <w:pPr>
              <w:spacing w:after="0" w:line="240" w:lineRule="auto"/>
              <w:jc w:val="right"/>
              <w:rPr>
                <w:rFonts w:ascii="Garamond" w:eastAsia="Times New Roman" w:hAnsi="Garamond" w:cs="Times New Roman"/>
                <w:b/>
                <w:bCs/>
                <w:sz w:val="24"/>
                <w:szCs w:val="24"/>
                <w:lang w:eastAsia="hr-HR"/>
              </w:rPr>
            </w:pPr>
            <w:r w:rsidRPr="00EB465B">
              <w:rPr>
                <w:rFonts w:ascii="Garamond" w:eastAsia="Times New Roman" w:hAnsi="Garamond" w:cs="Times New Roman"/>
                <w:b/>
                <w:bCs/>
                <w:sz w:val="24"/>
                <w:szCs w:val="24"/>
                <w:lang w:eastAsia="hr-HR"/>
              </w:rPr>
              <w:t>-146.850,64</w:t>
            </w:r>
          </w:p>
        </w:tc>
      </w:tr>
    </w:tbl>
    <w:p w14:paraId="4D8E15BE" w14:textId="77777777" w:rsidR="00EB465B" w:rsidRPr="00EB465B" w:rsidRDefault="00EB465B" w:rsidP="00EB465B">
      <w:pPr>
        <w:spacing w:after="0" w:line="240" w:lineRule="auto"/>
        <w:jc w:val="both"/>
        <w:rPr>
          <w:rFonts w:ascii="Garamond" w:eastAsia="Times New Roman" w:hAnsi="Garamond" w:cs="Times New Roman"/>
          <w:bCs/>
          <w:sz w:val="24"/>
          <w:szCs w:val="24"/>
        </w:rPr>
      </w:pPr>
    </w:p>
    <w:p w14:paraId="119FC91F" w14:textId="35922463"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Iskazani rezultat na podskupini 922 iz čl</w:t>
      </w:r>
      <w:r>
        <w:rPr>
          <w:rFonts w:ascii="Garamond" w:eastAsia="Times New Roman" w:hAnsi="Garamond" w:cs="Times New Roman"/>
          <w:bCs/>
          <w:sz w:val="24"/>
          <w:szCs w:val="24"/>
        </w:rPr>
        <w:t>anka</w:t>
      </w:r>
      <w:r w:rsidRPr="00EB465B">
        <w:rPr>
          <w:rFonts w:ascii="Garamond" w:eastAsia="Times New Roman" w:hAnsi="Garamond" w:cs="Times New Roman"/>
          <w:bCs/>
          <w:sz w:val="24"/>
          <w:szCs w:val="24"/>
        </w:rPr>
        <w:t xml:space="preserve"> 2. ove Odluke pre/raspodjeljuje se na osnovnim računima prema kategorijama i izvorima financiranja, </w:t>
      </w:r>
      <w:r w:rsidRPr="00EB465B">
        <w:rPr>
          <w:rFonts w:ascii="Garamond" w:eastAsia="Times New Roman" w:hAnsi="Garamond" w:cs="Times New Roman"/>
          <w:sz w:val="24"/>
          <w:szCs w:val="24"/>
        </w:rPr>
        <w:t xml:space="preserve">uz pridržavanje ograničenja u skladu s propisima iz područja proračuna, ali </w:t>
      </w:r>
      <w:r w:rsidRPr="00EB465B">
        <w:rPr>
          <w:rFonts w:ascii="Garamond" w:eastAsia="Times New Roman" w:hAnsi="Garamond" w:cs="Times New Roman"/>
          <w:bCs/>
          <w:sz w:val="24"/>
          <w:szCs w:val="24"/>
        </w:rPr>
        <w:t>bez utjecaja na promjenu ukupnog rezultata.</w:t>
      </w:r>
    </w:p>
    <w:p w14:paraId="39F370B2" w14:textId="77777777" w:rsidR="00EB465B" w:rsidRPr="00EB465B" w:rsidRDefault="00EB465B" w:rsidP="00EB465B">
      <w:pPr>
        <w:spacing w:after="0" w:line="240" w:lineRule="auto"/>
        <w:jc w:val="both"/>
        <w:rPr>
          <w:rFonts w:ascii="Garamond" w:eastAsia="Times New Roman" w:hAnsi="Garamond" w:cs="Times New Roman"/>
          <w:bCs/>
          <w:sz w:val="24"/>
          <w:szCs w:val="24"/>
        </w:rPr>
      </w:pPr>
    </w:p>
    <w:p w14:paraId="4B372C9D" w14:textId="77777777" w:rsidR="00EB465B" w:rsidRPr="00EB465B" w:rsidRDefault="00EB465B" w:rsidP="00EB465B">
      <w:pPr>
        <w:spacing w:after="0" w:line="240" w:lineRule="auto"/>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Članak 4.</w:t>
      </w:r>
    </w:p>
    <w:p w14:paraId="1EB7559C" w14:textId="77777777"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 xml:space="preserve">Tijekom 2025. godine nabava nefinancijske imovine financirana je iz ostvarenih prihoda poslovanja razreda 6 pa je prema istim izvorima financiranja iskazan 92211 višak prihoda poslovanja i manjak prihoda od nefinancijske imovine 92222. </w:t>
      </w:r>
    </w:p>
    <w:p w14:paraId="35CFB95B" w14:textId="428ABA70"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Ovom Odlukom preraspodjeljuje se rezultat na način da se manjak prihoda od nefinancijske imovine na osnovnom računu 92222  pokriva viškom prihoda poslovanja na osnovnom računu 92211 kako slijedi:</w:t>
      </w:r>
    </w:p>
    <w:p w14:paraId="7D06A84E"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11 opći prihodi i primici u iznosu 520.928,79 eura, a za isti iznos se smanjuje odnosno zadužuje višak prihoda poslovanja po IF 11 opći prihodi i primici</w:t>
      </w:r>
    </w:p>
    <w:p w14:paraId="0373A6C9"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421 naknada za LNG u iznosu 130.499,30 eura, a za isti iznos se smanjuje odnosno zadužuje višak prihoda poslovanja po IF 421 naknada za LNG</w:t>
      </w:r>
    </w:p>
    <w:p w14:paraId="06D2169C"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423 spomenička renta u iznosu 8.162,28 eura, a za isti iznos se smanjuje odnosno zadužuje višak prihoda poslovanja po IF 423 spomenička renta</w:t>
      </w:r>
    </w:p>
    <w:p w14:paraId="44BA0AE1"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431 komunalni doprinos u iznosu 432.253,28 eura, a za isti iznos se smanjuje odnosno zadužuje višak prihoda poslovanja po IF 431 komunalni doprinos</w:t>
      </w:r>
    </w:p>
    <w:p w14:paraId="30403A06"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432 komunalna naknada u iznosu 34.391,50 eura, a za isti iznos se smanjuje odnosno zadužuje višak prihoda poslovanja po IF 432 komunalna naknada</w:t>
      </w:r>
    </w:p>
    <w:p w14:paraId="2AFEBB51"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433 naknada za legalizaciju u iznosu 1.625.41 euro, a za isti iznos se smanjuje odnosno zadužuje višak prihoda poslovanja po IF 433 naknada za legalizaciju</w:t>
      </w:r>
    </w:p>
    <w:p w14:paraId="0964E2AD" w14:textId="77777777" w:rsidR="00EB465B" w:rsidRPr="00EB465B" w:rsidRDefault="00EB465B" w:rsidP="00EB465B">
      <w:pPr>
        <w:numPr>
          <w:ilvl w:val="0"/>
          <w:numId w:val="38"/>
        </w:numPr>
        <w:spacing w:after="0" w:line="240" w:lineRule="auto"/>
        <w:contextualSpacing/>
        <w:jc w:val="both"/>
        <w:rPr>
          <w:rFonts w:ascii="Garamond" w:eastAsia="Times New Roman" w:hAnsi="Garamond" w:cs="Times New Roman"/>
          <w:sz w:val="24"/>
          <w:szCs w:val="24"/>
        </w:rPr>
      </w:pPr>
      <w:r w:rsidRPr="00EB465B">
        <w:rPr>
          <w:rFonts w:ascii="Garamond" w:eastAsia="Times New Roman" w:hAnsi="Garamond" w:cs="Times New Roman"/>
          <w:sz w:val="24"/>
          <w:szCs w:val="24"/>
        </w:rPr>
        <w:t>odobrava se manjak prihoda od nefinancijske imovine po IF 437 koncesije - ostale u iznosu 83,33 eura, a za isti iznos se smanjuje odnosno zadužuje višak prihoda poslovanja po IF 437 koncesije – ostale.</w:t>
      </w:r>
    </w:p>
    <w:p w14:paraId="42A995D3" w14:textId="77777777" w:rsidR="00EB465B" w:rsidRPr="00EB465B" w:rsidRDefault="00EB465B" w:rsidP="00EB465B">
      <w:pPr>
        <w:spacing w:after="0" w:line="240" w:lineRule="auto"/>
        <w:ind w:left="360"/>
        <w:jc w:val="both"/>
        <w:rPr>
          <w:rFonts w:ascii="Garamond" w:eastAsia="Times New Roman" w:hAnsi="Garamond" w:cs="Times New Roman"/>
          <w:sz w:val="24"/>
          <w:szCs w:val="24"/>
        </w:rPr>
      </w:pPr>
    </w:p>
    <w:p w14:paraId="7EE59751" w14:textId="77777777" w:rsidR="00EB465B" w:rsidRPr="00EB465B" w:rsidRDefault="00EB465B" w:rsidP="00EB465B">
      <w:pPr>
        <w:spacing w:after="0" w:line="240" w:lineRule="auto"/>
        <w:ind w:left="360"/>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5.</w:t>
      </w:r>
    </w:p>
    <w:p w14:paraId="48EAEC32" w14:textId="77777777" w:rsidR="00EB465B" w:rsidRPr="00EB465B" w:rsidRDefault="00EB465B" w:rsidP="00EB465B">
      <w:pPr>
        <w:spacing w:after="0" w:line="240" w:lineRule="auto"/>
        <w:jc w:val="both"/>
        <w:rPr>
          <w:rFonts w:ascii="Garamond" w:eastAsia="Times New Roman" w:hAnsi="Garamond" w:cs="Times New Roman"/>
          <w:sz w:val="24"/>
          <w:szCs w:val="24"/>
        </w:rPr>
      </w:pPr>
      <w:bookmarkStart w:id="1" w:name="_Hlk129678514"/>
      <w:r w:rsidRPr="00EB465B">
        <w:rPr>
          <w:rFonts w:ascii="Garamond" w:eastAsia="Times New Roman" w:hAnsi="Garamond" w:cs="Times New Roman"/>
          <w:sz w:val="24"/>
          <w:szCs w:val="24"/>
        </w:rPr>
        <w:t xml:space="preserve">Tijekom 2025. godine ostvareno je 262,58 eura od otkupa stana pa je po izvoru financiranja IF 71 iskazan višak prihoda od nefinancijske imovine. Ostvarena sredstva od otkupa stana evidentirana su na troškove stanovanja na razredu 3 u skladu sa čl. 27 Zakona o prodaji stanova na kojima postoji stanarsko pravo. </w:t>
      </w:r>
    </w:p>
    <w:p w14:paraId="7774180C" w14:textId="77777777" w:rsidR="00EB465B" w:rsidRPr="00EB465B" w:rsidRDefault="00EB465B" w:rsidP="00EB465B">
      <w:pPr>
        <w:spacing w:after="0" w:line="240" w:lineRule="auto"/>
        <w:jc w:val="both"/>
        <w:rPr>
          <w:rFonts w:ascii="Garamond" w:eastAsia="Times New Roman" w:hAnsi="Garamond" w:cs="Times New Roman"/>
          <w:color w:val="FF0000"/>
          <w:sz w:val="24"/>
          <w:szCs w:val="24"/>
        </w:rPr>
      </w:pPr>
      <w:r w:rsidRPr="00EB465B">
        <w:rPr>
          <w:rFonts w:ascii="Garamond" w:eastAsia="Times New Roman" w:hAnsi="Garamond" w:cs="Times New Roman"/>
          <w:bCs/>
          <w:sz w:val="24"/>
          <w:szCs w:val="24"/>
        </w:rPr>
        <w:t xml:space="preserve">Ovom Odlukom </w:t>
      </w:r>
      <w:r w:rsidRPr="00EB465B">
        <w:rPr>
          <w:rFonts w:ascii="Garamond" w:eastAsia="Times New Roman" w:hAnsi="Garamond" w:cs="Times New Roman"/>
          <w:sz w:val="24"/>
          <w:szCs w:val="24"/>
        </w:rPr>
        <w:t xml:space="preserve">provodi se pre/raspodjela rezultata </w:t>
      </w:r>
      <w:r w:rsidRPr="00EB465B">
        <w:rPr>
          <w:rFonts w:ascii="Garamond" w:eastAsia="Times New Roman" w:hAnsi="Garamond" w:cs="Times New Roman"/>
          <w:bCs/>
          <w:sz w:val="24"/>
          <w:szCs w:val="24"/>
        </w:rPr>
        <w:t xml:space="preserve">na način da se pokriva odnosno </w:t>
      </w:r>
      <w:r w:rsidRPr="00EB465B">
        <w:rPr>
          <w:rFonts w:ascii="Garamond" w:eastAsia="Times New Roman" w:hAnsi="Garamond" w:cs="Times New Roman"/>
          <w:sz w:val="24"/>
          <w:szCs w:val="24"/>
        </w:rPr>
        <w:t>odobrava manjak prihoda od poslovanja na osnovnom računu 92221 po IF 71 prihodi od prodaje nefinancijske imovine u iznosu 288,90 eura, a za isti iznos smanjuje se odnosno zadužuje višak prihoda od nefinancijske imovine na osnovnom računu 92212 po istom izvoru financiranja.</w:t>
      </w:r>
    </w:p>
    <w:bookmarkEnd w:id="1"/>
    <w:p w14:paraId="15FE5292"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58B27870" w14:textId="77777777" w:rsidR="00EB465B" w:rsidRPr="00EB465B" w:rsidRDefault="00EB465B" w:rsidP="00EB465B">
      <w:pPr>
        <w:spacing w:after="0" w:line="240" w:lineRule="auto"/>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6.</w:t>
      </w:r>
    </w:p>
    <w:p w14:paraId="51C352E1" w14:textId="77777777" w:rsidR="00EB465B" w:rsidRPr="00EB465B" w:rsidRDefault="00EB465B" w:rsidP="00EB465B">
      <w:pPr>
        <w:spacing w:after="0" w:line="240" w:lineRule="auto"/>
        <w:jc w:val="both"/>
        <w:rPr>
          <w:rFonts w:ascii="Garamond" w:eastAsia="Times New Roman" w:hAnsi="Garamond" w:cs="Times New Roman"/>
          <w:color w:val="FF0000"/>
          <w:sz w:val="24"/>
          <w:szCs w:val="24"/>
        </w:rPr>
      </w:pPr>
      <w:r w:rsidRPr="00EB465B">
        <w:rPr>
          <w:rFonts w:ascii="Garamond" w:eastAsia="Times New Roman" w:hAnsi="Garamond" w:cs="Times New Roman"/>
          <w:bCs/>
          <w:sz w:val="24"/>
          <w:szCs w:val="24"/>
        </w:rPr>
        <w:t>Proračunom Općine Omišalj planirana je i u cijelosti izvršena n</w:t>
      </w:r>
      <w:r w:rsidRPr="00EB465B">
        <w:rPr>
          <w:rFonts w:ascii="Garamond" w:eastAsia="Times New Roman" w:hAnsi="Garamond" w:cs="Times New Roman"/>
          <w:sz w:val="24"/>
          <w:szCs w:val="24"/>
        </w:rPr>
        <w:t>abava nefinancijske imovine iz namjenskih primitaka, od povrata zajmova danih neprofitnim organizacijama, građanima i kućanstvima u tuzemstvu u iznosu 9.628,11 eura. Prema izvoru financiranja 81 – namjenski primici iskazan je manjak prihoda od nefinancijske imovine i višak primitaka od financijske imovine.</w:t>
      </w:r>
    </w:p>
    <w:p w14:paraId="4D4F54AF" w14:textId="77777777" w:rsidR="00EB465B" w:rsidRPr="00EB465B" w:rsidRDefault="00EB465B" w:rsidP="00EB465B">
      <w:pPr>
        <w:spacing w:after="0" w:line="240" w:lineRule="auto"/>
        <w:jc w:val="both"/>
        <w:rPr>
          <w:rFonts w:ascii="Garamond" w:eastAsia="Times New Roman" w:hAnsi="Garamond" w:cs="Times New Roman"/>
          <w:color w:val="FF0000"/>
          <w:sz w:val="24"/>
          <w:szCs w:val="24"/>
        </w:rPr>
      </w:pPr>
      <w:r w:rsidRPr="00EB465B">
        <w:rPr>
          <w:rFonts w:ascii="Garamond" w:eastAsia="Times New Roman" w:hAnsi="Garamond" w:cs="Times New Roman"/>
          <w:bCs/>
          <w:sz w:val="24"/>
          <w:szCs w:val="24"/>
        </w:rPr>
        <w:t xml:space="preserve">Ovom Odlukom </w:t>
      </w:r>
      <w:r w:rsidRPr="00EB465B">
        <w:rPr>
          <w:rFonts w:ascii="Garamond" w:eastAsia="Times New Roman" w:hAnsi="Garamond" w:cs="Times New Roman"/>
          <w:sz w:val="24"/>
          <w:szCs w:val="24"/>
        </w:rPr>
        <w:t xml:space="preserve">provodi se pre/raspodjela rezultata </w:t>
      </w:r>
      <w:r w:rsidRPr="00EB465B">
        <w:rPr>
          <w:rFonts w:ascii="Garamond" w:eastAsia="Times New Roman" w:hAnsi="Garamond" w:cs="Times New Roman"/>
          <w:bCs/>
          <w:sz w:val="24"/>
          <w:szCs w:val="24"/>
        </w:rPr>
        <w:t xml:space="preserve">na način da se pokriva odnosno </w:t>
      </w:r>
      <w:r w:rsidRPr="00EB465B">
        <w:rPr>
          <w:rFonts w:ascii="Garamond" w:eastAsia="Times New Roman" w:hAnsi="Garamond" w:cs="Times New Roman"/>
          <w:sz w:val="24"/>
          <w:szCs w:val="24"/>
        </w:rPr>
        <w:t xml:space="preserve">odobrava manjak prihoda od nefinancijske imovine na osnovnom računu 92222 po IF 81 namjenski primici </w:t>
      </w:r>
      <w:r w:rsidRPr="00EB465B">
        <w:rPr>
          <w:rFonts w:ascii="Garamond" w:eastAsia="Times New Roman" w:hAnsi="Garamond" w:cs="Times New Roman"/>
          <w:sz w:val="24"/>
          <w:szCs w:val="24"/>
        </w:rPr>
        <w:lastRenderedPageBreak/>
        <w:t>u iznosu 9.628,11 eura, a za isti iznos smanjuje se odnosno zadužuje višak primitaka od financijske imovine na osnovnom računu 92213 po istom izvoru financiranja.</w:t>
      </w:r>
    </w:p>
    <w:p w14:paraId="13D4D2EA"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66AC1872" w14:textId="77777777" w:rsidR="00EB465B" w:rsidRPr="00EB465B" w:rsidRDefault="00EB465B" w:rsidP="00EB465B">
      <w:pPr>
        <w:spacing w:after="0" w:line="240" w:lineRule="auto"/>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7.</w:t>
      </w:r>
    </w:p>
    <w:p w14:paraId="7332CB84" w14:textId="553EB82F" w:rsidR="00EB465B" w:rsidRPr="00EB465B" w:rsidRDefault="00EB465B" w:rsidP="00EB465B">
      <w:pPr>
        <w:autoSpaceDE w:val="0"/>
        <w:autoSpaceDN w:val="0"/>
        <w:adjustRightInd w:val="0"/>
        <w:spacing w:after="0" w:line="240" w:lineRule="auto"/>
        <w:jc w:val="both"/>
        <w:rPr>
          <w:rFonts w:ascii="Garamond" w:eastAsia="Calibri" w:hAnsi="Garamond" w:cs="Times New Roman"/>
          <w:color w:val="FF0000"/>
          <w:sz w:val="24"/>
          <w:szCs w:val="24"/>
          <w:lang w:eastAsia="hr-HR"/>
        </w:rPr>
      </w:pPr>
      <w:r w:rsidRPr="00EB465B">
        <w:rPr>
          <w:rFonts w:ascii="Garamond" w:eastAsia="Times New Roman" w:hAnsi="Garamond" w:cs="Times New Roman"/>
          <w:sz w:val="24"/>
          <w:szCs w:val="24"/>
        </w:rPr>
        <w:t xml:space="preserve">Tijekom 2025. godine, Općina Omišalj je prihodima poslovanja razreda 6 ostvarenim po IF 11 opći prihodi i primici financirala povećanje temeljnog kapitala - udjela u glavnici trgovačkih društava u vlasništvu Općine Omišalj </w:t>
      </w:r>
      <w:r w:rsidRPr="00EB465B">
        <w:rPr>
          <w:rFonts w:ascii="Garamond" w:eastAsia="Calibri" w:hAnsi="Garamond" w:cs="Times New Roman"/>
          <w:sz w:val="24"/>
          <w:szCs w:val="24"/>
          <w:lang w:eastAsia="hr-HR"/>
        </w:rPr>
        <w:t>u ukupnom iznosu 59.356,45 eura. Povećanje udjela u glavnici s računovodstvenog aspekta rezultiralo je manjkom primitaka od financijske imovine po IF 11 opći prihodi i primici, a financiran je viškom prihoda poslovanja po istom izvoru financiranja.</w:t>
      </w:r>
    </w:p>
    <w:p w14:paraId="7EB67BB0" w14:textId="77777777" w:rsidR="00EB465B" w:rsidRPr="00EB465B" w:rsidRDefault="00EB465B" w:rsidP="00EB465B">
      <w:pPr>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bCs/>
          <w:sz w:val="24"/>
          <w:szCs w:val="24"/>
        </w:rPr>
        <w:t xml:space="preserve">Ovom Odlukom </w:t>
      </w:r>
      <w:r w:rsidRPr="00EB465B">
        <w:rPr>
          <w:rFonts w:ascii="Garamond" w:eastAsia="Times New Roman" w:hAnsi="Garamond" w:cs="Times New Roman"/>
          <w:sz w:val="24"/>
          <w:szCs w:val="24"/>
        </w:rPr>
        <w:t xml:space="preserve">provodi se pre/raspodjela rezultata </w:t>
      </w:r>
      <w:r w:rsidRPr="00EB465B">
        <w:rPr>
          <w:rFonts w:ascii="Garamond" w:eastAsia="Times New Roman" w:hAnsi="Garamond" w:cs="Times New Roman"/>
          <w:bCs/>
          <w:sz w:val="24"/>
          <w:szCs w:val="24"/>
        </w:rPr>
        <w:t xml:space="preserve">na način da se pokriva odnosno </w:t>
      </w:r>
      <w:r w:rsidRPr="00EB465B">
        <w:rPr>
          <w:rFonts w:ascii="Garamond" w:eastAsia="Times New Roman" w:hAnsi="Garamond" w:cs="Times New Roman"/>
          <w:sz w:val="24"/>
          <w:szCs w:val="24"/>
        </w:rPr>
        <w:t xml:space="preserve">odobrava manjak primitaka od financijske imovine na osnovnom računu 92223 po IF 11 opći prihodi i primici u iznosu </w:t>
      </w:r>
      <w:r w:rsidRPr="00EB465B">
        <w:rPr>
          <w:rFonts w:ascii="Garamond" w:eastAsia="Calibri" w:hAnsi="Garamond" w:cs="Times New Roman"/>
          <w:sz w:val="24"/>
          <w:szCs w:val="24"/>
          <w:lang w:eastAsia="hr-HR"/>
        </w:rPr>
        <w:t xml:space="preserve">59.356,45 </w:t>
      </w:r>
      <w:r w:rsidRPr="00EB465B">
        <w:rPr>
          <w:rFonts w:ascii="Garamond" w:eastAsia="Times New Roman" w:hAnsi="Garamond" w:cs="Times New Roman"/>
          <w:sz w:val="24"/>
          <w:szCs w:val="24"/>
        </w:rPr>
        <w:t>eura, a za isti iznos smanjuje se odnosno zadužuje višak prihoda od nefinancijske imovine na osnovnom računu 92212 po istom izvoru financiranja.</w:t>
      </w:r>
    </w:p>
    <w:p w14:paraId="4BB5A9D3"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1340E403" w14:textId="77777777" w:rsidR="00EB465B" w:rsidRPr="00EB465B" w:rsidRDefault="00EB465B" w:rsidP="00EB465B">
      <w:pPr>
        <w:spacing w:after="0" w:line="240" w:lineRule="auto"/>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8.</w:t>
      </w:r>
    </w:p>
    <w:p w14:paraId="3B781132" w14:textId="622CCEE5" w:rsidR="00EB465B" w:rsidRPr="00EB465B" w:rsidRDefault="00EB465B" w:rsidP="00EB465B">
      <w:pPr>
        <w:autoSpaceDE w:val="0"/>
        <w:autoSpaceDN w:val="0"/>
        <w:adjustRightInd w:val="0"/>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sz w:val="24"/>
          <w:szCs w:val="24"/>
        </w:rPr>
        <w:t xml:space="preserve">Tijekom 2025. godine, Općina Omišalj je viškom prihoda poslovanja razreda 922116 ostvarenim po IF 52 pomoći, financirala </w:t>
      </w:r>
      <w:r w:rsidRPr="00EB465B">
        <w:rPr>
          <w:rFonts w:ascii="Garamond" w:eastAsia="Times New Roman" w:hAnsi="Garamond" w:cs="Times New Roman"/>
          <w:noProof w:val="0"/>
          <w:sz w:val="24"/>
          <w:szCs w:val="24"/>
        </w:rPr>
        <w:t>otplatu kredita za EU projekt „Projekt prikupljanja, odvodnje i pročišćavanja otpadnih voda otoka Krka“</w:t>
      </w:r>
      <w:r w:rsidRPr="00EB465B">
        <w:rPr>
          <w:rFonts w:ascii="Garamond" w:eastAsia="Times New Roman" w:hAnsi="Garamond" w:cs="Times New Roman"/>
          <w:sz w:val="24"/>
          <w:szCs w:val="24"/>
        </w:rPr>
        <w:t xml:space="preserve"> </w:t>
      </w:r>
      <w:r w:rsidRPr="00EB465B">
        <w:rPr>
          <w:rFonts w:ascii="Garamond" w:eastAsia="Calibri" w:hAnsi="Garamond" w:cs="Times New Roman"/>
          <w:sz w:val="24"/>
          <w:szCs w:val="24"/>
          <w:lang w:eastAsia="hr-HR"/>
        </w:rPr>
        <w:t>u ukupnom iznosu 97.122,30 eura. Otplata kredita s računovodstvenog aspekta rezultiralo je manjkom primitaka od financijske imovine po IF 529 preneseni višak pomoći, a financiran je prenesenim viškom prihoda poslovanja po istom izvoru financiranja.</w:t>
      </w:r>
    </w:p>
    <w:p w14:paraId="0838774C" w14:textId="77777777" w:rsidR="00EB465B" w:rsidRPr="00EB465B" w:rsidRDefault="00EB465B" w:rsidP="00EB465B">
      <w:pPr>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bCs/>
          <w:sz w:val="24"/>
          <w:szCs w:val="24"/>
        </w:rPr>
        <w:t xml:space="preserve">Ovom Odlukom </w:t>
      </w:r>
      <w:r w:rsidRPr="00EB465B">
        <w:rPr>
          <w:rFonts w:ascii="Garamond" w:eastAsia="Times New Roman" w:hAnsi="Garamond" w:cs="Times New Roman"/>
          <w:sz w:val="24"/>
          <w:szCs w:val="24"/>
        </w:rPr>
        <w:t xml:space="preserve">provodi se pre/raspodjela rezultata </w:t>
      </w:r>
      <w:r w:rsidRPr="00EB465B">
        <w:rPr>
          <w:rFonts w:ascii="Garamond" w:eastAsia="Times New Roman" w:hAnsi="Garamond" w:cs="Times New Roman"/>
          <w:bCs/>
          <w:sz w:val="24"/>
          <w:szCs w:val="24"/>
        </w:rPr>
        <w:t xml:space="preserve">na način da se pokriva odnosno </w:t>
      </w:r>
      <w:r w:rsidRPr="00EB465B">
        <w:rPr>
          <w:rFonts w:ascii="Garamond" w:eastAsia="Times New Roman" w:hAnsi="Garamond" w:cs="Times New Roman"/>
          <w:sz w:val="24"/>
          <w:szCs w:val="24"/>
        </w:rPr>
        <w:t xml:space="preserve">odobrava manjak primitaka od financijske imovine na osnovnom računu 92223 po IF 529 </w:t>
      </w:r>
      <w:r w:rsidRPr="00EB465B">
        <w:rPr>
          <w:rFonts w:ascii="Garamond" w:eastAsia="Calibri" w:hAnsi="Garamond" w:cs="Times New Roman"/>
          <w:sz w:val="24"/>
          <w:szCs w:val="24"/>
          <w:lang w:eastAsia="hr-HR"/>
        </w:rPr>
        <w:t>preneseni višak pomoći</w:t>
      </w:r>
      <w:r w:rsidRPr="00EB465B">
        <w:rPr>
          <w:rFonts w:ascii="Garamond" w:eastAsia="Times New Roman" w:hAnsi="Garamond" w:cs="Times New Roman"/>
          <w:sz w:val="24"/>
          <w:szCs w:val="24"/>
        </w:rPr>
        <w:t xml:space="preserve"> u iznosu </w:t>
      </w:r>
      <w:r w:rsidRPr="00EB465B">
        <w:rPr>
          <w:rFonts w:ascii="Garamond" w:eastAsia="Calibri" w:hAnsi="Garamond" w:cs="Times New Roman"/>
          <w:sz w:val="24"/>
          <w:szCs w:val="24"/>
          <w:lang w:eastAsia="hr-HR"/>
        </w:rPr>
        <w:t xml:space="preserve">97.122,30 </w:t>
      </w:r>
      <w:r w:rsidRPr="00EB465B">
        <w:rPr>
          <w:rFonts w:ascii="Garamond" w:eastAsia="Times New Roman" w:hAnsi="Garamond" w:cs="Times New Roman"/>
          <w:sz w:val="24"/>
          <w:szCs w:val="24"/>
        </w:rPr>
        <w:t>eura, a za isti iznos smanjuje se odnosno zadužuje višak prihoda poslovanja na osnovnom računu 92211 po istom izvoru financiranja.</w:t>
      </w:r>
    </w:p>
    <w:p w14:paraId="70D005AA"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777647A9" w14:textId="77777777" w:rsidR="00EB465B" w:rsidRPr="00EB465B" w:rsidRDefault="00EB465B" w:rsidP="00EB465B">
      <w:pPr>
        <w:spacing w:after="0" w:line="240" w:lineRule="auto"/>
        <w:ind w:hanging="142"/>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9.</w:t>
      </w:r>
    </w:p>
    <w:p w14:paraId="3E7FB2C7" w14:textId="6C0A0FA4" w:rsidR="00EB465B" w:rsidRP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sz w:val="24"/>
          <w:szCs w:val="24"/>
        </w:rPr>
        <w:t xml:space="preserve">Nakon provedene pre/raspodjele </w:t>
      </w:r>
      <w:r w:rsidRPr="00EB465B">
        <w:rPr>
          <w:rFonts w:ascii="Garamond" w:eastAsia="Times New Roman" w:hAnsi="Garamond" w:cs="Times New Roman"/>
          <w:bCs/>
          <w:sz w:val="24"/>
          <w:szCs w:val="24"/>
        </w:rPr>
        <w:t>rezultata iskazanog u financijskim izvještajima za 2025. prema čl. 4. – 8. ove Odluke,</w:t>
      </w:r>
      <w:r w:rsidRPr="00EB465B">
        <w:rPr>
          <w:rFonts w:ascii="Garamond" w:eastAsia="Times New Roman" w:hAnsi="Garamond" w:cs="Times New Roman"/>
          <w:bCs/>
          <w:color w:val="FF0000"/>
          <w:sz w:val="24"/>
          <w:szCs w:val="24"/>
        </w:rPr>
        <w:t xml:space="preserve"> </w:t>
      </w:r>
      <w:r w:rsidRPr="00EB465B">
        <w:rPr>
          <w:rFonts w:ascii="Garamond" w:eastAsia="Times New Roman" w:hAnsi="Garamond" w:cs="Times New Roman"/>
          <w:bCs/>
          <w:sz w:val="24"/>
          <w:szCs w:val="24"/>
        </w:rPr>
        <w:t>rezultat za 2025. godinu Općine Omišalj je višak prihoda poslovanja u iznosu 1.481.044,12 eura kako slijedi:</w:t>
      </w:r>
    </w:p>
    <w:p w14:paraId="43FA633F" w14:textId="77777777" w:rsidR="00EB465B" w:rsidRPr="00EB465B" w:rsidRDefault="00EB465B" w:rsidP="00EB465B">
      <w:pPr>
        <w:spacing w:after="0" w:line="240" w:lineRule="auto"/>
        <w:rPr>
          <w:rFonts w:ascii="Garamond" w:eastAsia="Times New Roman" w:hAnsi="Garamond" w:cs="Times New Roman"/>
          <w:color w:val="FF0000"/>
          <w:sz w:val="24"/>
          <w:szCs w:val="24"/>
        </w:rPr>
      </w:pPr>
    </w:p>
    <w:tbl>
      <w:tblPr>
        <w:tblStyle w:val="TableGrid2"/>
        <w:tblW w:w="9351" w:type="dxa"/>
        <w:tblLook w:val="04A0" w:firstRow="1" w:lastRow="0" w:firstColumn="1" w:lastColumn="0" w:noHBand="0" w:noVBand="1"/>
      </w:tblPr>
      <w:tblGrid>
        <w:gridCol w:w="882"/>
        <w:gridCol w:w="946"/>
        <w:gridCol w:w="3129"/>
        <w:gridCol w:w="2126"/>
        <w:gridCol w:w="2268"/>
      </w:tblGrid>
      <w:tr w:rsidR="00EB465B" w:rsidRPr="00EB465B" w14:paraId="00C4F1BE" w14:textId="77777777" w:rsidTr="00EB465B">
        <w:tc>
          <w:tcPr>
            <w:tcW w:w="882" w:type="dxa"/>
            <w:shd w:val="clear" w:color="auto" w:fill="DBE5F1"/>
            <w:vAlign w:val="center"/>
          </w:tcPr>
          <w:p w14:paraId="77BE3163"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Račun</w:t>
            </w:r>
          </w:p>
        </w:tc>
        <w:tc>
          <w:tcPr>
            <w:tcW w:w="946" w:type="dxa"/>
            <w:shd w:val="clear" w:color="auto" w:fill="DBE5F1"/>
            <w:vAlign w:val="center"/>
          </w:tcPr>
          <w:p w14:paraId="5679AA6F"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Izvor</w:t>
            </w:r>
          </w:p>
        </w:tc>
        <w:tc>
          <w:tcPr>
            <w:tcW w:w="3129" w:type="dxa"/>
            <w:shd w:val="clear" w:color="auto" w:fill="DBE5F1"/>
            <w:vAlign w:val="center"/>
          </w:tcPr>
          <w:p w14:paraId="148C4DC0"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Naziv</w:t>
            </w:r>
          </w:p>
        </w:tc>
        <w:tc>
          <w:tcPr>
            <w:tcW w:w="2126" w:type="dxa"/>
            <w:shd w:val="clear" w:color="auto" w:fill="DBE5F1"/>
            <w:vAlign w:val="center"/>
          </w:tcPr>
          <w:p w14:paraId="658F8807"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Nakon raspodjele rezultata</w:t>
            </w:r>
          </w:p>
        </w:tc>
        <w:tc>
          <w:tcPr>
            <w:tcW w:w="2268" w:type="dxa"/>
            <w:shd w:val="clear" w:color="auto" w:fill="DBE5F1"/>
            <w:vAlign w:val="center"/>
          </w:tcPr>
          <w:p w14:paraId="4E62671C"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Rezultat na 922</w:t>
            </w:r>
          </w:p>
          <w:p w14:paraId="301A6C99"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nakon Odluke</w:t>
            </w:r>
          </w:p>
        </w:tc>
      </w:tr>
      <w:tr w:rsidR="00EB465B" w:rsidRPr="00EB465B" w14:paraId="34F1DB85" w14:textId="77777777" w:rsidTr="00871DE9">
        <w:tc>
          <w:tcPr>
            <w:tcW w:w="882" w:type="dxa"/>
            <w:vAlign w:val="center"/>
          </w:tcPr>
          <w:p w14:paraId="1E7AB66E" w14:textId="77777777" w:rsidR="00EB465B" w:rsidRPr="00EB465B" w:rsidRDefault="00EB465B" w:rsidP="00EB465B">
            <w:pPr>
              <w:jc w:val="center"/>
              <w:rPr>
                <w:rFonts w:ascii="Garamond" w:eastAsia="Times New Roman" w:hAnsi="Garamond"/>
                <w:bCs/>
                <w:sz w:val="24"/>
                <w:szCs w:val="24"/>
              </w:rPr>
            </w:pPr>
            <w:r w:rsidRPr="00EB465B">
              <w:rPr>
                <w:rFonts w:ascii="Garamond" w:eastAsia="Times New Roman" w:hAnsi="Garamond"/>
                <w:bCs/>
                <w:sz w:val="24"/>
                <w:szCs w:val="24"/>
              </w:rPr>
              <w:t>92211</w:t>
            </w:r>
          </w:p>
        </w:tc>
        <w:tc>
          <w:tcPr>
            <w:tcW w:w="946" w:type="dxa"/>
          </w:tcPr>
          <w:p w14:paraId="64B55A79" w14:textId="77777777" w:rsidR="00EB465B" w:rsidRPr="00EB465B" w:rsidRDefault="00EB465B" w:rsidP="00EB465B">
            <w:pPr>
              <w:jc w:val="center"/>
              <w:rPr>
                <w:rFonts w:ascii="Garamond" w:eastAsia="Times New Roman" w:hAnsi="Garamond"/>
                <w:bCs/>
                <w:sz w:val="24"/>
                <w:szCs w:val="24"/>
              </w:rPr>
            </w:pPr>
            <w:r w:rsidRPr="00EB465B">
              <w:rPr>
                <w:rFonts w:ascii="Garamond" w:eastAsia="Times New Roman" w:hAnsi="Garamond"/>
                <w:bCs/>
                <w:sz w:val="24"/>
                <w:szCs w:val="24"/>
              </w:rPr>
              <w:t>IF 11</w:t>
            </w:r>
          </w:p>
        </w:tc>
        <w:tc>
          <w:tcPr>
            <w:tcW w:w="3129" w:type="dxa"/>
          </w:tcPr>
          <w:p w14:paraId="1C5CC85C" w14:textId="77777777" w:rsidR="00EB465B" w:rsidRPr="00EB465B" w:rsidRDefault="00EB465B" w:rsidP="00EB465B">
            <w:pPr>
              <w:jc w:val="both"/>
              <w:rPr>
                <w:rFonts w:ascii="Garamond" w:eastAsia="Times New Roman" w:hAnsi="Garamond"/>
                <w:bCs/>
                <w:sz w:val="24"/>
                <w:szCs w:val="24"/>
              </w:rPr>
            </w:pPr>
            <w:r w:rsidRPr="00EB465B">
              <w:rPr>
                <w:rFonts w:ascii="Garamond" w:eastAsia="Times New Roman" w:hAnsi="Garamond"/>
                <w:bCs/>
                <w:sz w:val="24"/>
                <w:szCs w:val="24"/>
              </w:rPr>
              <w:t>Opći prihodi i primici</w:t>
            </w:r>
          </w:p>
        </w:tc>
        <w:tc>
          <w:tcPr>
            <w:tcW w:w="2126" w:type="dxa"/>
          </w:tcPr>
          <w:p w14:paraId="2E7F3EE6" w14:textId="77777777" w:rsidR="00EB465B" w:rsidRPr="00EB465B" w:rsidRDefault="00EB465B" w:rsidP="00EB465B">
            <w:pPr>
              <w:jc w:val="right"/>
              <w:rPr>
                <w:rFonts w:ascii="Garamond" w:eastAsia="Times New Roman" w:hAnsi="Garamond"/>
                <w:bCs/>
                <w:sz w:val="24"/>
                <w:szCs w:val="24"/>
              </w:rPr>
            </w:pPr>
            <w:r w:rsidRPr="00EB465B">
              <w:rPr>
                <w:rFonts w:ascii="Garamond" w:eastAsia="Times New Roman" w:hAnsi="Garamond"/>
                <w:bCs/>
                <w:sz w:val="24"/>
                <w:szCs w:val="24"/>
              </w:rPr>
              <w:t>1.463.185,55</w:t>
            </w:r>
          </w:p>
        </w:tc>
        <w:tc>
          <w:tcPr>
            <w:tcW w:w="2268" w:type="dxa"/>
          </w:tcPr>
          <w:p w14:paraId="629CD059" w14:textId="77777777" w:rsidR="00EB465B" w:rsidRPr="00EB465B" w:rsidRDefault="00EB465B" w:rsidP="00EB465B">
            <w:pPr>
              <w:jc w:val="right"/>
              <w:rPr>
                <w:rFonts w:ascii="Garamond" w:eastAsia="Times New Roman" w:hAnsi="Garamond"/>
                <w:bCs/>
                <w:color w:val="FF0000"/>
                <w:sz w:val="24"/>
                <w:szCs w:val="24"/>
              </w:rPr>
            </w:pPr>
            <w:r w:rsidRPr="00EB465B">
              <w:rPr>
                <w:rFonts w:ascii="Garamond" w:eastAsia="Times New Roman" w:hAnsi="Garamond"/>
                <w:bCs/>
                <w:sz w:val="24"/>
                <w:szCs w:val="24"/>
              </w:rPr>
              <w:t>1.463.185,55</w:t>
            </w:r>
          </w:p>
        </w:tc>
      </w:tr>
      <w:tr w:rsidR="00EB465B" w:rsidRPr="00EB465B" w14:paraId="270484EC" w14:textId="77777777" w:rsidTr="00871DE9">
        <w:tc>
          <w:tcPr>
            <w:tcW w:w="882" w:type="dxa"/>
            <w:vAlign w:val="center"/>
          </w:tcPr>
          <w:p w14:paraId="3D7F5A74" w14:textId="77777777" w:rsidR="00EB465B" w:rsidRPr="00EB465B" w:rsidRDefault="00EB465B" w:rsidP="00EB465B">
            <w:pPr>
              <w:jc w:val="center"/>
              <w:rPr>
                <w:rFonts w:ascii="Garamond" w:eastAsia="Times New Roman" w:hAnsi="Garamond"/>
                <w:bCs/>
                <w:sz w:val="24"/>
                <w:szCs w:val="24"/>
              </w:rPr>
            </w:pPr>
            <w:r w:rsidRPr="00EB465B">
              <w:rPr>
                <w:rFonts w:ascii="Garamond" w:eastAsia="Times New Roman" w:hAnsi="Garamond"/>
                <w:bCs/>
                <w:sz w:val="24"/>
                <w:szCs w:val="24"/>
              </w:rPr>
              <w:t>92211</w:t>
            </w:r>
          </w:p>
        </w:tc>
        <w:tc>
          <w:tcPr>
            <w:tcW w:w="946" w:type="dxa"/>
          </w:tcPr>
          <w:p w14:paraId="59BDE583" w14:textId="77777777" w:rsidR="00EB465B" w:rsidRPr="00EB465B" w:rsidRDefault="00EB465B" w:rsidP="00EB465B">
            <w:pPr>
              <w:jc w:val="center"/>
              <w:rPr>
                <w:rFonts w:ascii="Garamond" w:eastAsia="Times New Roman" w:hAnsi="Garamond"/>
                <w:bCs/>
                <w:sz w:val="24"/>
                <w:szCs w:val="24"/>
              </w:rPr>
            </w:pPr>
            <w:r w:rsidRPr="00EB465B">
              <w:rPr>
                <w:rFonts w:ascii="Garamond" w:eastAsia="Times New Roman" w:hAnsi="Garamond"/>
                <w:bCs/>
                <w:sz w:val="24"/>
                <w:szCs w:val="24"/>
              </w:rPr>
              <w:t>IF 529</w:t>
            </w:r>
          </w:p>
        </w:tc>
        <w:tc>
          <w:tcPr>
            <w:tcW w:w="3129" w:type="dxa"/>
          </w:tcPr>
          <w:p w14:paraId="651AB678" w14:textId="77777777" w:rsidR="00EB465B" w:rsidRPr="00EB465B" w:rsidRDefault="00EB465B" w:rsidP="00EB465B">
            <w:pPr>
              <w:jc w:val="both"/>
              <w:rPr>
                <w:rFonts w:ascii="Garamond" w:eastAsia="Times New Roman" w:hAnsi="Garamond"/>
                <w:bCs/>
                <w:sz w:val="24"/>
                <w:szCs w:val="24"/>
              </w:rPr>
            </w:pPr>
            <w:r w:rsidRPr="00EB465B">
              <w:rPr>
                <w:rFonts w:ascii="Garamond" w:eastAsia="Times New Roman" w:hAnsi="Garamond"/>
                <w:bCs/>
                <w:sz w:val="24"/>
                <w:szCs w:val="24"/>
              </w:rPr>
              <w:t xml:space="preserve">Pomoći </w:t>
            </w:r>
          </w:p>
        </w:tc>
        <w:tc>
          <w:tcPr>
            <w:tcW w:w="2126" w:type="dxa"/>
          </w:tcPr>
          <w:p w14:paraId="4CD6F84D" w14:textId="77777777" w:rsidR="00EB465B" w:rsidRPr="00EB465B" w:rsidRDefault="00EB465B" w:rsidP="00EB465B">
            <w:pPr>
              <w:jc w:val="right"/>
              <w:rPr>
                <w:rFonts w:ascii="Garamond" w:eastAsia="Times New Roman" w:hAnsi="Garamond"/>
                <w:bCs/>
                <w:sz w:val="24"/>
                <w:szCs w:val="24"/>
              </w:rPr>
            </w:pPr>
            <w:r w:rsidRPr="00EB465B">
              <w:rPr>
                <w:rFonts w:ascii="Garamond" w:eastAsia="Times New Roman" w:hAnsi="Garamond"/>
                <w:bCs/>
                <w:sz w:val="24"/>
                <w:szCs w:val="24"/>
              </w:rPr>
              <w:t>17.858,57</w:t>
            </w:r>
          </w:p>
        </w:tc>
        <w:tc>
          <w:tcPr>
            <w:tcW w:w="2268" w:type="dxa"/>
          </w:tcPr>
          <w:p w14:paraId="6E009296" w14:textId="77777777" w:rsidR="00EB465B" w:rsidRPr="00EB465B" w:rsidRDefault="00EB465B" w:rsidP="00EB465B">
            <w:pPr>
              <w:jc w:val="right"/>
              <w:rPr>
                <w:rFonts w:ascii="Garamond" w:eastAsia="Times New Roman" w:hAnsi="Garamond"/>
                <w:bCs/>
                <w:color w:val="FF0000"/>
                <w:sz w:val="24"/>
                <w:szCs w:val="24"/>
              </w:rPr>
            </w:pPr>
            <w:r w:rsidRPr="00EB465B">
              <w:rPr>
                <w:rFonts w:ascii="Garamond" w:eastAsia="Times New Roman" w:hAnsi="Garamond"/>
                <w:bCs/>
                <w:sz w:val="24"/>
                <w:szCs w:val="24"/>
              </w:rPr>
              <w:t>17.858,57</w:t>
            </w:r>
          </w:p>
        </w:tc>
      </w:tr>
      <w:tr w:rsidR="00EB465B" w:rsidRPr="00EB465B" w14:paraId="73FAD108" w14:textId="77777777" w:rsidTr="00871DE9">
        <w:tc>
          <w:tcPr>
            <w:tcW w:w="4957" w:type="dxa"/>
            <w:gridSpan w:val="3"/>
            <w:vAlign w:val="center"/>
          </w:tcPr>
          <w:p w14:paraId="736C1218"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 xml:space="preserve">UKUPNO </w:t>
            </w:r>
          </w:p>
          <w:p w14:paraId="13FF240C" w14:textId="77777777" w:rsidR="00EB465B" w:rsidRPr="00EB465B" w:rsidRDefault="00EB465B" w:rsidP="00EB465B">
            <w:pPr>
              <w:jc w:val="center"/>
              <w:rPr>
                <w:rFonts w:ascii="Garamond" w:eastAsia="Times New Roman" w:hAnsi="Garamond"/>
                <w:b/>
                <w:sz w:val="24"/>
                <w:szCs w:val="24"/>
              </w:rPr>
            </w:pPr>
            <w:r w:rsidRPr="00EB465B">
              <w:rPr>
                <w:rFonts w:ascii="Garamond" w:eastAsia="Times New Roman" w:hAnsi="Garamond"/>
                <w:b/>
                <w:sz w:val="24"/>
                <w:szCs w:val="24"/>
              </w:rPr>
              <w:t>VIŠAK PRIHODA POSLOVANJA</w:t>
            </w:r>
          </w:p>
        </w:tc>
        <w:tc>
          <w:tcPr>
            <w:tcW w:w="2126" w:type="dxa"/>
            <w:vAlign w:val="center"/>
          </w:tcPr>
          <w:p w14:paraId="3E16A79E" w14:textId="77777777" w:rsidR="00EB465B" w:rsidRPr="00EB465B" w:rsidRDefault="00EB465B" w:rsidP="00EB465B">
            <w:pPr>
              <w:jc w:val="right"/>
              <w:rPr>
                <w:rFonts w:ascii="Garamond" w:eastAsia="Times New Roman" w:hAnsi="Garamond"/>
                <w:b/>
                <w:sz w:val="24"/>
                <w:szCs w:val="24"/>
              </w:rPr>
            </w:pPr>
            <w:r w:rsidRPr="00EB465B">
              <w:rPr>
                <w:rFonts w:ascii="Garamond" w:eastAsia="Times New Roman" w:hAnsi="Garamond"/>
                <w:b/>
                <w:sz w:val="24"/>
                <w:szCs w:val="24"/>
              </w:rPr>
              <w:t>1.481.044,12</w:t>
            </w:r>
          </w:p>
        </w:tc>
        <w:tc>
          <w:tcPr>
            <w:tcW w:w="2268" w:type="dxa"/>
            <w:vAlign w:val="center"/>
          </w:tcPr>
          <w:p w14:paraId="06292847" w14:textId="77777777" w:rsidR="00EB465B" w:rsidRPr="00EB465B" w:rsidRDefault="00EB465B" w:rsidP="00EB465B">
            <w:pPr>
              <w:jc w:val="right"/>
              <w:rPr>
                <w:rFonts w:ascii="Garamond" w:eastAsia="Times New Roman" w:hAnsi="Garamond"/>
                <w:b/>
                <w:color w:val="FF0000"/>
                <w:sz w:val="24"/>
                <w:szCs w:val="24"/>
              </w:rPr>
            </w:pPr>
            <w:r w:rsidRPr="00EB465B">
              <w:rPr>
                <w:rFonts w:ascii="Garamond" w:eastAsia="Times New Roman" w:hAnsi="Garamond"/>
                <w:b/>
                <w:sz w:val="24"/>
                <w:szCs w:val="24"/>
              </w:rPr>
              <w:t>1.481.044,12</w:t>
            </w:r>
          </w:p>
        </w:tc>
      </w:tr>
    </w:tbl>
    <w:p w14:paraId="67BCF97F" w14:textId="77777777" w:rsidR="00EB465B" w:rsidRPr="00EB465B" w:rsidRDefault="00EB465B" w:rsidP="00EB465B">
      <w:pPr>
        <w:spacing w:after="0" w:line="240" w:lineRule="auto"/>
        <w:ind w:hanging="142"/>
        <w:jc w:val="both"/>
        <w:rPr>
          <w:rFonts w:ascii="Garamond" w:eastAsia="Times New Roman" w:hAnsi="Garamond" w:cs="Times New Roman"/>
          <w:sz w:val="24"/>
          <w:szCs w:val="24"/>
        </w:rPr>
      </w:pPr>
    </w:p>
    <w:p w14:paraId="57BC60CA" w14:textId="77777777" w:rsidR="00EB465B" w:rsidRPr="00EB465B" w:rsidRDefault="00EB465B" w:rsidP="00EB465B">
      <w:pPr>
        <w:spacing w:after="0" w:line="240" w:lineRule="auto"/>
        <w:ind w:hanging="142"/>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10.</w:t>
      </w:r>
    </w:p>
    <w:p w14:paraId="797998D6" w14:textId="5906E85C" w:rsidR="00EB465B" w:rsidRPr="00EB465B" w:rsidRDefault="00EB465B" w:rsidP="00EB465B">
      <w:pPr>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sz w:val="24"/>
          <w:szCs w:val="24"/>
        </w:rPr>
        <w:t>Višak prihoda po IF 11 opći prihodi i primici u iznosu 1.463.185,55 eura raspoređuje se za:</w:t>
      </w:r>
    </w:p>
    <w:p w14:paraId="48E9490C" w14:textId="77777777" w:rsidR="00EB465B" w:rsidRPr="00EB465B" w:rsidRDefault="00EB465B" w:rsidP="00EB465B">
      <w:pPr>
        <w:numPr>
          <w:ilvl w:val="0"/>
          <w:numId w:val="39"/>
        </w:numPr>
        <w:spacing w:after="0" w:line="240" w:lineRule="auto"/>
        <w:contextualSpacing/>
        <w:jc w:val="both"/>
        <w:rPr>
          <w:rFonts w:ascii="Garamond" w:eastAsia="Times New Roman" w:hAnsi="Garamond" w:cs="Times New Roman"/>
          <w:color w:val="000000"/>
          <w:sz w:val="24"/>
          <w:szCs w:val="24"/>
        </w:rPr>
      </w:pPr>
      <w:r w:rsidRPr="00EB465B">
        <w:rPr>
          <w:rFonts w:ascii="Garamond" w:eastAsia="Times New Roman" w:hAnsi="Garamond" w:cs="Times New Roman"/>
          <w:color w:val="000000"/>
          <w:sz w:val="24"/>
          <w:szCs w:val="24"/>
        </w:rPr>
        <w:t>Program 1418: A140131 Sufinanciranje troškova boravka djece u DV- 545.535,55 eura</w:t>
      </w:r>
    </w:p>
    <w:p w14:paraId="38A41C37" w14:textId="77777777" w:rsidR="00EB465B" w:rsidRPr="00EB465B" w:rsidRDefault="00EB465B" w:rsidP="00EB465B">
      <w:pPr>
        <w:numPr>
          <w:ilvl w:val="0"/>
          <w:numId w:val="39"/>
        </w:numPr>
        <w:spacing w:after="0" w:line="240" w:lineRule="auto"/>
        <w:contextualSpacing/>
        <w:jc w:val="both"/>
        <w:rPr>
          <w:rFonts w:ascii="Garamond" w:eastAsia="Times New Roman" w:hAnsi="Garamond" w:cs="Times New Roman"/>
          <w:color w:val="000000"/>
          <w:sz w:val="24"/>
          <w:szCs w:val="24"/>
        </w:rPr>
      </w:pPr>
      <w:r w:rsidRPr="00EB465B">
        <w:rPr>
          <w:rFonts w:ascii="Garamond" w:eastAsia="Times New Roman" w:hAnsi="Garamond" w:cs="Times New Roman"/>
          <w:color w:val="000000"/>
          <w:sz w:val="24"/>
          <w:szCs w:val="24"/>
        </w:rPr>
        <w:t>Program 1434: K160987 DV Njivice – 530.000,00 eura</w:t>
      </w:r>
    </w:p>
    <w:p w14:paraId="15A964C9" w14:textId="6C271ACF" w:rsidR="00EB465B" w:rsidRPr="00EB465B" w:rsidRDefault="00EB465B" w:rsidP="00EB465B">
      <w:pPr>
        <w:numPr>
          <w:ilvl w:val="0"/>
          <w:numId w:val="39"/>
        </w:numPr>
        <w:spacing w:after="0" w:line="240" w:lineRule="auto"/>
        <w:contextualSpacing/>
        <w:jc w:val="both"/>
        <w:rPr>
          <w:rFonts w:ascii="Garamond" w:eastAsia="Times New Roman" w:hAnsi="Garamond" w:cs="Times New Roman"/>
          <w:color w:val="000000"/>
          <w:sz w:val="24"/>
          <w:szCs w:val="24"/>
        </w:rPr>
      </w:pPr>
      <w:r w:rsidRPr="00EB465B">
        <w:rPr>
          <w:rFonts w:ascii="Garamond" w:eastAsia="Times New Roman" w:hAnsi="Garamond" w:cs="Times New Roman"/>
          <w:color w:val="000000"/>
          <w:sz w:val="24"/>
          <w:szCs w:val="24"/>
        </w:rPr>
        <w:t>Program 1430: K170186 Sufinanciranje izgradnje POS stanova – 387.650,00 eura.</w:t>
      </w:r>
    </w:p>
    <w:p w14:paraId="1E8C430C" w14:textId="77777777" w:rsidR="00EB465B" w:rsidRPr="00EB465B" w:rsidRDefault="00EB465B" w:rsidP="00EB465B">
      <w:pPr>
        <w:spacing w:after="0" w:line="240" w:lineRule="auto"/>
        <w:ind w:hanging="142"/>
        <w:jc w:val="center"/>
        <w:rPr>
          <w:rFonts w:ascii="Garamond" w:eastAsia="Times New Roman" w:hAnsi="Garamond" w:cs="Times New Roman"/>
          <w:b/>
          <w:bCs/>
          <w:sz w:val="24"/>
          <w:szCs w:val="24"/>
        </w:rPr>
      </w:pPr>
    </w:p>
    <w:p w14:paraId="05F4D68A" w14:textId="77777777" w:rsidR="00EB465B" w:rsidRPr="00EB465B" w:rsidRDefault="00EB465B" w:rsidP="00EB465B">
      <w:pPr>
        <w:spacing w:after="0" w:line="240" w:lineRule="auto"/>
        <w:ind w:hanging="142"/>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11.</w:t>
      </w:r>
    </w:p>
    <w:p w14:paraId="043D9157" w14:textId="3059F5D7" w:rsidR="00EB465B" w:rsidRPr="00EB465B" w:rsidRDefault="00EB465B" w:rsidP="00EB465B">
      <w:pPr>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sz w:val="24"/>
          <w:szCs w:val="24"/>
        </w:rPr>
        <w:t>Višak prihoda po IF 529 preneseni višak pomoći u iznosu 17.858,57 eura raspoređuje se za:</w:t>
      </w:r>
    </w:p>
    <w:p w14:paraId="48FD5CF8" w14:textId="77777777" w:rsidR="00EB465B" w:rsidRPr="00EB465B" w:rsidRDefault="00EB465B" w:rsidP="00EB465B">
      <w:pPr>
        <w:numPr>
          <w:ilvl w:val="0"/>
          <w:numId w:val="39"/>
        </w:numPr>
        <w:spacing w:after="0" w:line="240" w:lineRule="auto"/>
        <w:contextualSpacing/>
        <w:jc w:val="both"/>
        <w:rPr>
          <w:rFonts w:ascii="Garamond" w:eastAsia="Times New Roman" w:hAnsi="Garamond" w:cs="Times New Roman"/>
          <w:color w:val="FF0000"/>
          <w:sz w:val="24"/>
          <w:szCs w:val="24"/>
        </w:rPr>
      </w:pPr>
      <w:r w:rsidRPr="00EB465B">
        <w:rPr>
          <w:rFonts w:ascii="Garamond" w:eastAsia="Times New Roman" w:hAnsi="Garamond" w:cs="Times New Roman"/>
          <w:sz w:val="24"/>
          <w:szCs w:val="24"/>
        </w:rPr>
        <w:t xml:space="preserve">Program 1431: K160871 Projekt prikupljanja, odvodnje i pročišćavanja otpadnih voda na području otoka Krka – za otplatu glavnice kredita </w:t>
      </w:r>
    </w:p>
    <w:p w14:paraId="3AE46FEF" w14:textId="77777777" w:rsidR="00EB465B" w:rsidRDefault="00EB465B" w:rsidP="00EB465B">
      <w:pPr>
        <w:spacing w:after="0" w:line="240" w:lineRule="auto"/>
        <w:jc w:val="both"/>
        <w:rPr>
          <w:rFonts w:ascii="Garamond" w:eastAsia="Times New Roman" w:hAnsi="Garamond" w:cs="Times New Roman"/>
          <w:sz w:val="24"/>
          <w:szCs w:val="24"/>
        </w:rPr>
      </w:pPr>
    </w:p>
    <w:p w14:paraId="53EB68E6" w14:textId="77777777" w:rsidR="003B0E43" w:rsidRDefault="003B0E43" w:rsidP="00EB465B">
      <w:pPr>
        <w:spacing w:after="0" w:line="240" w:lineRule="auto"/>
        <w:jc w:val="both"/>
        <w:rPr>
          <w:rFonts w:ascii="Garamond" w:eastAsia="Times New Roman" w:hAnsi="Garamond" w:cs="Times New Roman"/>
          <w:sz w:val="24"/>
          <w:szCs w:val="24"/>
        </w:rPr>
      </w:pPr>
    </w:p>
    <w:p w14:paraId="4A143C2C" w14:textId="77777777" w:rsidR="003B0E43" w:rsidRPr="00EB465B" w:rsidRDefault="003B0E43" w:rsidP="00EB465B">
      <w:pPr>
        <w:spacing w:after="0" w:line="240" w:lineRule="auto"/>
        <w:jc w:val="both"/>
        <w:rPr>
          <w:rFonts w:ascii="Garamond" w:eastAsia="Times New Roman" w:hAnsi="Garamond" w:cs="Times New Roman"/>
          <w:sz w:val="24"/>
          <w:szCs w:val="24"/>
        </w:rPr>
      </w:pPr>
    </w:p>
    <w:p w14:paraId="6824E286" w14:textId="77777777" w:rsidR="00EB465B" w:rsidRPr="00EB465B" w:rsidRDefault="00EB465B" w:rsidP="00EB465B">
      <w:pPr>
        <w:spacing w:after="0" w:line="240" w:lineRule="auto"/>
        <w:ind w:hanging="142"/>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lastRenderedPageBreak/>
        <w:t>Članak 12.</w:t>
      </w:r>
    </w:p>
    <w:p w14:paraId="6A132344" w14:textId="77777777" w:rsidR="00EB465B" w:rsidRPr="00EB465B" w:rsidRDefault="00EB465B" w:rsidP="00EB465B">
      <w:pPr>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sz w:val="24"/>
          <w:szCs w:val="24"/>
        </w:rPr>
        <w:t>Višak prihoda po IF 11 opći prihodi i primici u iznosu 1.463.185,55 eura i višak prihoda po IF 529 preneseni višak pomoći u iznosu od 17.858,57 eura u ukupnom iznosu od 1.481.044,12 eura rasporedit će se, sukladno članku 45. Zakona o proračunu, u Prve izmjene i dopune Proračuna Općine Omišalj za 2026. godinu.</w:t>
      </w:r>
    </w:p>
    <w:p w14:paraId="7B3CD9D1" w14:textId="77777777" w:rsidR="00EB465B" w:rsidRPr="00EB465B" w:rsidRDefault="00EB465B" w:rsidP="00EB465B">
      <w:pPr>
        <w:spacing w:after="0" w:line="240" w:lineRule="auto"/>
        <w:jc w:val="both"/>
        <w:rPr>
          <w:rFonts w:ascii="Garamond" w:eastAsia="Times New Roman" w:hAnsi="Garamond" w:cs="Times New Roman"/>
          <w:sz w:val="24"/>
          <w:szCs w:val="24"/>
        </w:rPr>
      </w:pPr>
    </w:p>
    <w:p w14:paraId="687D1944" w14:textId="77777777" w:rsidR="00EB465B" w:rsidRPr="00EB465B" w:rsidRDefault="00EB465B" w:rsidP="00EB465B">
      <w:pPr>
        <w:spacing w:after="0" w:line="240" w:lineRule="auto"/>
        <w:ind w:hanging="142"/>
        <w:jc w:val="center"/>
        <w:rPr>
          <w:rFonts w:ascii="Garamond" w:eastAsia="Times New Roman" w:hAnsi="Garamond" w:cs="Times New Roman"/>
          <w:b/>
          <w:bCs/>
          <w:sz w:val="24"/>
          <w:szCs w:val="24"/>
        </w:rPr>
      </w:pPr>
      <w:r w:rsidRPr="00EB465B">
        <w:rPr>
          <w:rFonts w:ascii="Garamond" w:eastAsia="Times New Roman" w:hAnsi="Garamond" w:cs="Times New Roman"/>
          <w:b/>
          <w:bCs/>
          <w:sz w:val="24"/>
          <w:szCs w:val="24"/>
        </w:rPr>
        <w:t>Članak 13.</w:t>
      </w:r>
    </w:p>
    <w:p w14:paraId="2CA3C9E5" w14:textId="77777777" w:rsidR="00EB465B" w:rsidRDefault="00EB465B" w:rsidP="00EB465B">
      <w:pPr>
        <w:spacing w:after="0" w:line="240" w:lineRule="auto"/>
        <w:jc w:val="both"/>
        <w:rPr>
          <w:rFonts w:ascii="Garamond" w:eastAsia="Times New Roman" w:hAnsi="Garamond" w:cs="Times New Roman"/>
          <w:bCs/>
          <w:sz w:val="24"/>
          <w:szCs w:val="24"/>
        </w:rPr>
      </w:pPr>
      <w:r w:rsidRPr="00EB465B">
        <w:rPr>
          <w:rFonts w:ascii="Garamond" w:eastAsia="Times New Roman" w:hAnsi="Garamond" w:cs="Times New Roman"/>
          <w:bCs/>
          <w:sz w:val="24"/>
          <w:szCs w:val="24"/>
        </w:rPr>
        <w:t>Zadužuje se Odsjek za proračun i financije da knjigovodstveno evidentiranje preraspodjele i raspodjele  rezultata provede u poslovnim knjigama Općine Omišalj s danom stupanja na snagu Odluke.</w:t>
      </w:r>
    </w:p>
    <w:p w14:paraId="658B8E63" w14:textId="77777777" w:rsidR="00EB465B" w:rsidRDefault="00EB465B" w:rsidP="00EB465B">
      <w:pPr>
        <w:spacing w:after="0" w:line="240" w:lineRule="auto"/>
        <w:jc w:val="both"/>
        <w:rPr>
          <w:rFonts w:ascii="Garamond" w:eastAsia="Times New Roman" w:hAnsi="Garamond" w:cs="Times New Roman"/>
          <w:bCs/>
          <w:sz w:val="24"/>
          <w:szCs w:val="24"/>
        </w:rPr>
      </w:pPr>
    </w:p>
    <w:p w14:paraId="123C84DC" w14:textId="22850E8A" w:rsidR="00EB465B" w:rsidRPr="00EB465B" w:rsidRDefault="00EB465B" w:rsidP="00EB465B">
      <w:pPr>
        <w:spacing w:after="0" w:line="240" w:lineRule="auto"/>
        <w:jc w:val="center"/>
        <w:rPr>
          <w:rFonts w:ascii="Garamond" w:eastAsia="Times New Roman" w:hAnsi="Garamond" w:cs="Times New Roman"/>
          <w:bCs/>
          <w:sz w:val="24"/>
          <w:szCs w:val="24"/>
        </w:rPr>
      </w:pPr>
      <w:r w:rsidRPr="00EB465B">
        <w:rPr>
          <w:rFonts w:ascii="Garamond" w:eastAsia="Times New Roman" w:hAnsi="Garamond" w:cs="Times New Roman"/>
          <w:b/>
          <w:sz w:val="24"/>
          <w:szCs w:val="24"/>
        </w:rPr>
        <w:t>Članak 14.</w:t>
      </w:r>
    </w:p>
    <w:p w14:paraId="24E779D4" w14:textId="77777777" w:rsidR="00EB465B" w:rsidRDefault="00EB465B" w:rsidP="00EB465B">
      <w:pPr>
        <w:spacing w:after="0" w:line="240" w:lineRule="auto"/>
        <w:jc w:val="both"/>
        <w:rPr>
          <w:rFonts w:ascii="Garamond" w:eastAsia="Times New Roman" w:hAnsi="Garamond" w:cs="Times New Roman"/>
          <w:sz w:val="24"/>
          <w:szCs w:val="24"/>
        </w:rPr>
      </w:pPr>
      <w:r w:rsidRPr="00EB465B">
        <w:rPr>
          <w:rFonts w:ascii="Garamond" w:eastAsia="Times New Roman" w:hAnsi="Garamond" w:cs="Times New Roman"/>
          <w:sz w:val="24"/>
          <w:szCs w:val="24"/>
        </w:rPr>
        <w:t xml:space="preserve">Ova Odluka stupa na snagu osmoga dana od dana objave u </w:t>
      </w:r>
      <w:r>
        <w:rPr>
          <w:rFonts w:ascii="Garamond" w:eastAsia="Times New Roman" w:hAnsi="Garamond" w:cs="Times New Roman"/>
          <w:sz w:val="24"/>
          <w:szCs w:val="24"/>
        </w:rPr>
        <w:t>„</w:t>
      </w:r>
      <w:r w:rsidRPr="00EB465B">
        <w:rPr>
          <w:rFonts w:ascii="Garamond" w:eastAsia="Times New Roman" w:hAnsi="Garamond" w:cs="Times New Roman"/>
          <w:sz w:val="24"/>
          <w:szCs w:val="24"/>
        </w:rPr>
        <w:t>Službenim novinama Primorsko-goranske županije“.</w:t>
      </w:r>
    </w:p>
    <w:p w14:paraId="3BF32C5F" w14:textId="77777777" w:rsidR="00EB465B" w:rsidRDefault="00EB465B" w:rsidP="00EB465B">
      <w:pPr>
        <w:spacing w:after="0" w:line="240" w:lineRule="auto"/>
        <w:jc w:val="both"/>
        <w:rPr>
          <w:rFonts w:ascii="Garamond" w:eastAsia="Times New Roman" w:hAnsi="Garamond" w:cs="Times New Roman"/>
          <w:sz w:val="24"/>
          <w:szCs w:val="24"/>
        </w:rPr>
      </w:pPr>
    </w:p>
    <w:p w14:paraId="0F2A1382" w14:textId="3248FB3B" w:rsidR="003B0E43" w:rsidRPr="003B0E43" w:rsidRDefault="003B0E43" w:rsidP="003B0E43">
      <w:pPr>
        <w:spacing w:after="0" w:line="240" w:lineRule="auto"/>
        <w:jc w:val="both"/>
        <w:rPr>
          <w:rFonts w:ascii="Garamond" w:eastAsia="Times New Roman" w:hAnsi="Garamond" w:cs="Times New Roman"/>
          <w:sz w:val="24"/>
          <w:szCs w:val="24"/>
        </w:rPr>
      </w:pPr>
      <w:r w:rsidRPr="003B0E43">
        <w:rPr>
          <w:rFonts w:ascii="Garamond" w:eastAsia="Times New Roman" w:hAnsi="Garamond" w:cs="Times New Roman"/>
          <w:sz w:val="24"/>
          <w:szCs w:val="24"/>
        </w:rPr>
        <w:t>KLASA:</w:t>
      </w:r>
      <w:r>
        <w:rPr>
          <w:rFonts w:ascii="Garamond" w:eastAsia="Times New Roman" w:hAnsi="Garamond" w:cs="Times New Roman"/>
          <w:sz w:val="24"/>
          <w:szCs w:val="24"/>
        </w:rPr>
        <w:t xml:space="preserve"> </w:t>
      </w:r>
      <w:r w:rsidRPr="003B0E43">
        <w:rPr>
          <w:rFonts w:ascii="Garamond" w:eastAsia="Times New Roman" w:hAnsi="Garamond" w:cs="Times New Roman"/>
          <w:sz w:val="24"/>
          <w:szCs w:val="24"/>
        </w:rPr>
        <w:t>400-01/25-01/3</w:t>
      </w:r>
    </w:p>
    <w:p w14:paraId="5C3B0D75" w14:textId="34DAD1D0" w:rsidR="003B0E43" w:rsidRPr="003B0E43" w:rsidRDefault="003B0E43" w:rsidP="003B0E43">
      <w:pPr>
        <w:spacing w:after="0" w:line="240" w:lineRule="auto"/>
        <w:jc w:val="both"/>
        <w:rPr>
          <w:rFonts w:ascii="Garamond" w:eastAsia="Times New Roman" w:hAnsi="Garamond" w:cs="Times New Roman"/>
          <w:sz w:val="24"/>
          <w:szCs w:val="24"/>
        </w:rPr>
      </w:pPr>
      <w:r w:rsidRPr="003B0E43">
        <w:rPr>
          <w:rFonts w:ascii="Garamond" w:eastAsia="Times New Roman" w:hAnsi="Garamond" w:cs="Times New Roman"/>
          <w:sz w:val="24"/>
          <w:szCs w:val="24"/>
        </w:rPr>
        <w:t>URBROJ:</w:t>
      </w:r>
      <w:r>
        <w:rPr>
          <w:rFonts w:ascii="Garamond" w:eastAsia="Times New Roman" w:hAnsi="Garamond" w:cs="Times New Roman"/>
          <w:sz w:val="24"/>
          <w:szCs w:val="24"/>
        </w:rPr>
        <w:t xml:space="preserve"> </w:t>
      </w:r>
      <w:r w:rsidRPr="003B0E43">
        <w:rPr>
          <w:rFonts w:ascii="Garamond" w:eastAsia="Times New Roman" w:hAnsi="Garamond" w:cs="Times New Roman"/>
          <w:sz w:val="24"/>
          <w:szCs w:val="24"/>
        </w:rPr>
        <w:t>2170-30-26-6</w:t>
      </w:r>
    </w:p>
    <w:p w14:paraId="689E8158" w14:textId="1B6B722B" w:rsidR="00EB465B" w:rsidRDefault="003B0E43" w:rsidP="003B0E43">
      <w:pPr>
        <w:spacing w:after="0" w:line="240" w:lineRule="auto"/>
        <w:jc w:val="both"/>
        <w:rPr>
          <w:rFonts w:ascii="Garamond" w:eastAsia="Times New Roman" w:hAnsi="Garamond" w:cs="Times New Roman"/>
          <w:sz w:val="24"/>
          <w:szCs w:val="24"/>
        </w:rPr>
      </w:pPr>
      <w:r w:rsidRPr="003B0E43">
        <w:rPr>
          <w:rFonts w:ascii="Garamond" w:eastAsia="Times New Roman" w:hAnsi="Garamond" w:cs="Times New Roman"/>
          <w:sz w:val="24"/>
          <w:szCs w:val="24"/>
        </w:rPr>
        <w:t xml:space="preserve">Omišalj, </w:t>
      </w:r>
      <w:r>
        <w:rPr>
          <w:rFonts w:ascii="Garamond" w:eastAsia="Calibri" w:hAnsi="Garamond" w:cs="Times New Roman"/>
          <w:noProof w:val="0"/>
          <w:sz w:val="24"/>
          <w:szCs w:val="24"/>
        </w:rPr>
        <w:t>21. svibnja</w:t>
      </w:r>
      <w:r w:rsidRPr="004454ED">
        <w:rPr>
          <w:rFonts w:ascii="Garamond" w:eastAsia="Calibri" w:hAnsi="Garamond" w:cs="Times New Roman"/>
          <w:noProof w:val="0"/>
          <w:sz w:val="24"/>
          <w:szCs w:val="24"/>
        </w:rPr>
        <w:t xml:space="preserve"> </w:t>
      </w:r>
      <w:r w:rsidRPr="003B0E43">
        <w:rPr>
          <w:rFonts w:ascii="Garamond" w:eastAsia="Times New Roman" w:hAnsi="Garamond" w:cs="Times New Roman"/>
          <w:sz w:val="24"/>
          <w:szCs w:val="24"/>
        </w:rPr>
        <w:t>2026. godine</w:t>
      </w:r>
    </w:p>
    <w:p w14:paraId="3EA3AB73" w14:textId="77777777" w:rsidR="00EB465B" w:rsidRDefault="00EB465B" w:rsidP="00EB465B">
      <w:pPr>
        <w:spacing w:after="0" w:line="240" w:lineRule="auto"/>
        <w:jc w:val="both"/>
        <w:rPr>
          <w:rFonts w:ascii="Garamond" w:eastAsia="Times New Roman" w:hAnsi="Garamond" w:cs="Times New Roman"/>
          <w:sz w:val="24"/>
          <w:szCs w:val="24"/>
        </w:rPr>
      </w:pPr>
    </w:p>
    <w:p w14:paraId="460C8ECD" w14:textId="23D50814" w:rsidR="00EB465B" w:rsidRPr="00EB465B" w:rsidRDefault="00EB465B" w:rsidP="00EB465B">
      <w:pPr>
        <w:spacing w:after="0" w:line="240" w:lineRule="auto"/>
        <w:ind w:left="4248"/>
        <w:jc w:val="center"/>
        <w:rPr>
          <w:rFonts w:ascii="Garamond" w:eastAsia="Times New Roman" w:hAnsi="Garamond" w:cs="Times New Roman"/>
          <w:sz w:val="24"/>
          <w:szCs w:val="24"/>
        </w:rPr>
      </w:pPr>
      <w:r w:rsidRPr="00EB465B">
        <w:rPr>
          <w:rFonts w:ascii="Garamond" w:eastAsia="Times New Roman" w:hAnsi="Garamond" w:cs="Times New Roman"/>
          <w:b/>
          <w:sz w:val="24"/>
          <w:szCs w:val="24"/>
        </w:rPr>
        <w:t>OPĆINSKO VIJEĆE OPĆINE OMIŠALJ</w:t>
      </w:r>
    </w:p>
    <w:p w14:paraId="7CAE0709" w14:textId="3B50E73F" w:rsidR="00EB465B" w:rsidRDefault="00EB465B" w:rsidP="00EB465B">
      <w:pPr>
        <w:spacing w:after="0" w:line="240" w:lineRule="auto"/>
        <w:ind w:left="4248"/>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Predsjednica</w:t>
      </w:r>
    </w:p>
    <w:p w14:paraId="24A6B569" w14:textId="6403B119" w:rsidR="00EB465B" w:rsidRPr="00EB465B" w:rsidRDefault="00EB465B" w:rsidP="00EB465B">
      <w:pPr>
        <w:spacing w:after="0" w:line="240" w:lineRule="auto"/>
        <w:ind w:left="4248"/>
        <w:jc w:val="center"/>
        <w:rPr>
          <w:rFonts w:ascii="Garamond" w:eastAsia="Times New Roman" w:hAnsi="Garamond" w:cs="Times New Roman"/>
          <w:b/>
          <w:sz w:val="24"/>
          <w:szCs w:val="24"/>
        </w:rPr>
      </w:pPr>
      <w:r w:rsidRPr="00EB465B">
        <w:rPr>
          <w:rFonts w:ascii="Garamond" w:eastAsia="Times New Roman" w:hAnsi="Garamond" w:cs="Times New Roman"/>
          <w:b/>
          <w:sz w:val="24"/>
          <w:szCs w:val="24"/>
        </w:rPr>
        <w:t>Dunja Mihelec v.r.</w:t>
      </w:r>
    </w:p>
    <w:sectPr w:rsidR="00EB465B" w:rsidRPr="00EB4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9D9"/>
    <w:multiLevelType w:val="hybridMultilevel"/>
    <w:tmpl w:val="3A6243A8"/>
    <w:lvl w:ilvl="0" w:tplc="014C24C4">
      <w:start w:val="1"/>
      <w:numFmt w:val="decimal"/>
      <w:lvlText w:val="%1."/>
      <w:lvlJc w:val="left"/>
      <w:pPr>
        <w:ind w:left="720" w:hanging="360"/>
      </w:pPr>
      <w:rPr>
        <w:rFonts w:ascii="Times New Roman" w:hAnsi="Times New Roman" w:cs="Times New Roman" w:hint="default"/>
        <w:b w:val="0"/>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2755E"/>
    <w:multiLevelType w:val="hybridMultilevel"/>
    <w:tmpl w:val="ED800624"/>
    <w:lvl w:ilvl="0" w:tplc="ECA06924">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2A389D"/>
    <w:multiLevelType w:val="multilevel"/>
    <w:tmpl w:val="4AD2B9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3410E"/>
    <w:multiLevelType w:val="hybridMultilevel"/>
    <w:tmpl w:val="EF4AAA62"/>
    <w:lvl w:ilvl="0" w:tplc="230251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76058A"/>
    <w:multiLevelType w:val="hybridMultilevel"/>
    <w:tmpl w:val="8B60517E"/>
    <w:lvl w:ilvl="0" w:tplc="EC3C4356">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215DA1"/>
    <w:multiLevelType w:val="hybridMultilevel"/>
    <w:tmpl w:val="0584F10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2015257"/>
    <w:multiLevelType w:val="hybridMultilevel"/>
    <w:tmpl w:val="886C1C72"/>
    <w:lvl w:ilvl="0" w:tplc="CD20BC5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24061B0"/>
    <w:multiLevelType w:val="hybridMultilevel"/>
    <w:tmpl w:val="D6BEF7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2E35334"/>
    <w:multiLevelType w:val="hybridMultilevel"/>
    <w:tmpl w:val="395A7B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C3186D"/>
    <w:multiLevelType w:val="hybridMultilevel"/>
    <w:tmpl w:val="E8440EE6"/>
    <w:lvl w:ilvl="0" w:tplc="CC2A1494">
      <w:start w:val="5"/>
      <w:numFmt w:val="bullet"/>
      <w:lvlText w:val="-"/>
      <w:lvlJc w:val="left"/>
      <w:pPr>
        <w:ind w:left="360" w:hanging="360"/>
      </w:pPr>
      <w:rPr>
        <w:rFonts w:ascii="Garamond" w:eastAsia="Times New Roman" w:hAnsi="Garamond" w:cs="Times New Roman"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3CC0152"/>
    <w:multiLevelType w:val="hybridMultilevel"/>
    <w:tmpl w:val="A81E360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3" w15:restartNumberingAfterBreak="0">
    <w:nsid w:val="27F632C1"/>
    <w:multiLevelType w:val="hybridMultilevel"/>
    <w:tmpl w:val="63C88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C7288"/>
    <w:multiLevelType w:val="hybridMultilevel"/>
    <w:tmpl w:val="54C22A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3418EA"/>
    <w:multiLevelType w:val="hybridMultilevel"/>
    <w:tmpl w:val="FD265984"/>
    <w:lvl w:ilvl="0" w:tplc="041A0001">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Times New Roman"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Times New Roman"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Times New Roman" w:hint="default"/>
      </w:rPr>
    </w:lvl>
    <w:lvl w:ilvl="8" w:tplc="041A0005">
      <w:start w:val="1"/>
      <w:numFmt w:val="bullet"/>
      <w:lvlText w:val=""/>
      <w:lvlJc w:val="left"/>
      <w:pPr>
        <w:ind w:left="6945" w:hanging="360"/>
      </w:pPr>
      <w:rPr>
        <w:rFonts w:ascii="Wingdings" w:hAnsi="Wingdings" w:hint="default"/>
      </w:rPr>
    </w:lvl>
  </w:abstractNum>
  <w:abstractNum w:abstractNumId="16" w15:restartNumberingAfterBreak="0">
    <w:nsid w:val="2BAE6F74"/>
    <w:multiLevelType w:val="hybridMultilevel"/>
    <w:tmpl w:val="BE26653A"/>
    <w:lvl w:ilvl="0" w:tplc="13AE3CB8">
      <w:start w:val="5"/>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2C993634"/>
    <w:multiLevelType w:val="hybridMultilevel"/>
    <w:tmpl w:val="C5EEB17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CD767C"/>
    <w:multiLevelType w:val="hybridMultilevel"/>
    <w:tmpl w:val="D8000F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D8F73FB"/>
    <w:multiLevelType w:val="hybridMultilevel"/>
    <w:tmpl w:val="A3C414FE"/>
    <w:lvl w:ilvl="0" w:tplc="3ED2478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2" w15:restartNumberingAfterBreak="0">
    <w:nsid w:val="30253FF4"/>
    <w:multiLevelType w:val="multilevel"/>
    <w:tmpl w:val="7E5626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15:restartNumberingAfterBreak="0">
    <w:nsid w:val="341E1DB1"/>
    <w:multiLevelType w:val="hybridMultilevel"/>
    <w:tmpl w:val="42ECEA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57D48C5"/>
    <w:multiLevelType w:val="hybridMultilevel"/>
    <w:tmpl w:val="D610C3FC"/>
    <w:lvl w:ilvl="0" w:tplc="602253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292649"/>
    <w:multiLevelType w:val="hybridMultilevel"/>
    <w:tmpl w:val="D37E1D26"/>
    <w:lvl w:ilvl="0" w:tplc="C0F05E9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E44330"/>
    <w:multiLevelType w:val="multilevel"/>
    <w:tmpl w:val="908E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502E44"/>
    <w:multiLevelType w:val="hybridMultilevel"/>
    <w:tmpl w:val="148EFEDC"/>
    <w:lvl w:ilvl="0" w:tplc="E506D2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C97C6B"/>
    <w:multiLevelType w:val="hybridMultilevel"/>
    <w:tmpl w:val="08DC1C68"/>
    <w:lvl w:ilvl="0" w:tplc="48463500">
      <w:start w:val="1"/>
      <w:numFmt w:val="decimal"/>
      <w:lvlText w:val="%1."/>
      <w:lvlJc w:val="left"/>
      <w:pPr>
        <w:ind w:left="71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7205C"/>
    <w:multiLevelType w:val="multilevel"/>
    <w:tmpl w:val="31D40E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51CBF"/>
    <w:multiLevelType w:val="hybridMultilevel"/>
    <w:tmpl w:val="00E24930"/>
    <w:lvl w:ilvl="0" w:tplc="D2CC608E">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A6F7B36"/>
    <w:multiLevelType w:val="hybridMultilevel"/>
    <w:tmpl w:val="27EE307C"/>
    <w:lvl w:ilvl="0" w:tplc="DD5E130C">
      <w:start w:val="1"/>
      <w:numFmt w:val="decimal"/>
      <w:lvlText w:val="%1."/>
      <w:lvlJc w:val="left"/>
      <w:pPr>
        <w:ind w:left="768" w:hanging="360"/>
      </w:pPr>
      <w:rPr>
        <w:rFonts w:cs="Times New Roman"/>
        <w:color w:val="auto"/>
      </w:rPr>
    </w:lvl>
    <w:lvl w:ilvl="1" w:tplc="041A0019">
      <w:start w:val="1"/>
      <w:numFmt w:val="lowerLetter"/>
      <w:lvlText w:val="%2."/>
      <w:lvlJc w:val="left"/>
      <w:pPr>
        <w:ind w:left="1488" w:hanging="360"/>
      </w:pPr>
      <w:rPr>
        <w:rFonts w:cs="Times New Roman"/>
      </w:rPr>
    </w:lvl>
    <w:lvl w:ilvl="2" w:tplc="041A001B">
      <w:start w:val="1"/>
      <w:numFmt w:val="lowerRoman"/>
      <w:lvlText w:val="%3."/>
      <w:lvlJc w:val="right"/>
      <w:pPr>
        <w:ind w:left="2208" w:hanging="180"/>
      </w:pPr>
      <w:rPr>
        <w:rFonts w:cs="Times New Roman"/>
      </w:rPr>
    </w:lvl>
    <w:lvl w:ilvl="3" w:tplc="041A000F">
      <w:start w:val="1"/>
      <w:numFmt w:val="decimal"/>
      <w:lvlText w:val="%4."/>
      <w:lvlJc w:val="left"/>
      <w:pPr>
        <w:ind w:left="2928" w:hanging="360"/>
      </w:pPr>
      <w:rPr>
        <w:rFonts w:cs="Times New Roman"/>
      </w:rPr>
    </w:lvl>
    <w:lvl w:ilvl="4" w:tplc="041A0019">
      <w:start w:val="1"/>
      <w:numFmt w:val="lowerLetter"/>
      <w:lvlText w:val="%5."/>
      <w:lvlJc w:val="left"/>
      <w:pPr>
        <w:ind w:left="3648" w:hanging="360"/>
      </w:pPr>
      <w:rPr>
        <w:rFonts w:cs="Times New Roman"/>
      </w:rPr>
    </w:lvl>
    <w:lvl w:ilvl="5" w:tplc="041A001B">
      <w:start w:val="1"/>
      <w:numFmt w:val="lowerRoman"/>
      <w:lvlText w:val="%6."/>
      <w:lvlJc w:val="right"/>
      <w:pPr>
        <w:ind w:left="4368" w:hanging="180"/>
      </w:pPr>
      <w:rPr>
        <w:rFonts w:cs="Times New Roman"/>
      </w:rPr>
    </w:lvl>
    <w:lvl w:ilvl="6" w:tplc="041A000F">
      <w:start w:val="1"/>
      <w:numFmt w:val="decimal"/>
      <w:lvlText w:val="%7."/>
      <w:lvlJc w:val="left"/>
      <w:pPr>
        <w:ind w:left="5088" w:hanging="360"/>
      </w:pPr>
      <w:rPr>
        <w:rFonts w:cs="Times New Roman"/>
      </w:rPr>
    </w:lvl>
    <w:lvl w:ilvl="7" w:tplc="041A0019">
      <w:start w:val="1"/>
      <w:numFmt w:val="lowerLetter"/>
      <w:lvlText w:val="%8."/>
      <w:lvlJc w:val="left"/>
      <w:pPr>
        <w:ind w:left="5808" w:hanging="360"/>
      </w:pPr>
      <w:rPr>
        <w:rFonts w:cs="Times New Roman"/>
      </w:rPr>
    </w:lvl>
    <w:lvl w:ilvl="8" w:tplc="041A001B">
      <w:start w:val="1"/>
      <w:numFmt w:val="lowerRoman"/>
      <w:lvlText w:val="%9."/>
      <w:lvlJc w:val="right"/>
      <w:pPr>
        <w:ind w:left="6528" w:hanging="180"/>
      </w:pPr>
      <w:rPr>
        <w:rFonts w:cs="Times New Roman"/>
      </w:rPr>
    </w:lvl>
  </w:abstractNum>
  <w:abstractNum w:abstractNumId="32" w15:restartNumberingAfterBreak="0">
    <w:nsid w:val="6BF9097C"/>
    <w:multiLevelType w:val="hybridMultilevel"/>
    <w:tmpl w:val="8CC61E3C"/>
    <w:lvl w:ilvl="0" w:tplc="30AA5520">
      <w:start w:val="1"/>
      <w:numFmt w:val="decimal"/>
      <w:lvlText w:val="(%1)"/>
      <w:lvlJc w:val="left"/>
      <w:pPr>
        <w:ind w:left="720" w:hanging="360"/>
      </w:pPr>
      <w:rPr>
        <w:rFonts w:ascii="Garamond" w:eastAsia="Times New Roman" w:hAnsi="Garamond" w:cs="Times New Roman"/>
        <w:color w:val="auto"/>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0F2A00"/>
    <w:multiLevelType w:val="hybridMultilevel"/>
    <w:tmpl w:val="1E2E3446"/>
    <w:lvl w:ilvl="0" w:tplc="148804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1DD0014"/>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6" w15:restartNumberingAfterBreak="0">
    <w:nsid w:val="750F0DF7"/>
    <w:multiLevelType w:val="hybridMultilevel"/>
    <w:tmpl w:val="57109842"/>
    <w:lvl w:ilvl="0" w:tplc="CAE2D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53D6FF2"/>
    <w:multiLevelType w:val="multilevel"/>
    <w:tmpl w:val="7F80A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D7397"/>
    <w:multiLevelType w:val="hybridMultilevel"/>
    <w:tmpl w:val="01044FB0"/>
    <w:lvl w:ilvl="0" w:tplc="5AA4D89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9035309">
    <w:abstractNumId w:val="0"/>
  </w:num>
  <w:num w:numId="2" w16cid:durableId="1612082925">
    <w:abstractNumId w:val="33"/>
  </w:num>
  <w:num w:numId="3" w16cid:durableId="1597783482">
    <w:abstractNumId w:val="7"/>
  </w:num>
  <w:num w:numId="4" w16cid:durableId="929653517">
    <w:abstractNumId w:val="28"/>
  </w:num>
  <w:num w:numId="5" w16cid:durableId="320424602">
    <w:abstractNumId w:val="3"/>
  </w:num>
  <w:num w:numId="6" w16cid:durableId="1199314180">
    <w:abstractNumId w:val="1"/>
  </w:num>
  <w:num w:numId="7" w16cid:durableId="474487498">
    <w:abstractNumId w:val="18"/>
  </w:num>
  <w:num w:numId="8" w16cid:durableId="1068452633">
    <w:abstractNumId w:val="29"/>
  </w:num>
  <w:num w:numId="9" w16cid:durableId="1779791274">
    <w:abstractNumId w:val="20"/>
  </w:num>
  <w:num w:numId="10" w16cid:durableId="15815946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107279">
    <w:abstractNumId w:val="15"/>
  </w:num>
  <w:num w:numId="12" w16cid:durableId="2408766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4667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141733">
    <w:abstractNumId w:val="36"/>
  </w:num>
  <w:num w:numId="15" w16cid:durableId="1172530650">
    <w:abstractNumId w:val="13"/>
  </w:num>
  <w:num w:numId="16" w16cid:durableId="1655990029">
    <w:abstractNumId w:val="10"/>
  </w:num>
  <w:num w:numId="17" w16cid:durableId="332994529">
    <w:abstractNumId w:val="8"/>
  </w:num>
  <w:num w:numId="18" w16cid:durableId="784276562">
    <w:abstractNumId w:val="6"/>
  </w:num>
  <w:num w:numId="19" w16cid:durableId="1289167147">
    <w:abstractNumId w:val="19"/>
  </w:num>
  <w:num w:numId="20" w16cid:durableId="1666863478">
    <w:abstractNumId w:val="14"/>
  </w:num>
  <w:num w:numId="21" w16cid:durableId="1155224959">
    <w:abstractNumId w:val="9"/>
  </w:num>
  <w:num w:numId="22" w16cid:durableId="1348405739">
    <w:abstractNumId w:val="30"/>
  </w:num>
  <w:num w:numId="23" w16cid:durableId="1159463745">
    <w:abstractNumId w:val="23"/>
  </w:num>
  <w:num w:numId="24" w16cid:durableId="93089806">
    <w:abstractNumId w:val="17"/>
  </w:num>
  <w:num w:numId="25" w16cid:durableId="1442996527">
    <w:abstractNumId w:val="22"/>
  </w:num>
  <w:num w:numId="26" w16cid:durableId="475537102">
    <w:abstractNumId w:val="4"/>
  </w:num>
  <w:num w:numId="27" w16cid:durableId="1109665907">
    <w:abstractNumId w:val="34"/>
  </w:num>
  <w:num w:numId="28" w16cid:durableId="1808350976">
    <w:abstractNumId w:val="38"/>
  </w:num>
  <w:num w:numId="29" w16cid:durableId="1976397">
    <w:abstractNumId w:val="26"/>
  </w:num>
  <w:num w:numId="30" w16cid:durableId="1214654766">
    <w:abstractNumId w:val="25"/>
  </w:num>
  <w:num w:numId="31" w16cid:durableId="397560629">
    <w:abstractNumId w:val="12"/>
  </w:num>
  <w:num w:numId="32" w16cid:durableId="157696290">
    <w:abstractNumId w:val="37"/>
  </w:num>
  <w:num w:numId="33" w16cid:durableId="1682318175">
    <w:abstractNumId w:val="32"/>
  </w:num>
  <w:num w:numId="34" w16cid:durableId="1658653477">
    <w:abstractNumId w:val="24"/>
  </w:num>
  <w:num w:numId="35" w16cid:durableId="180553430">
    <w:abstractNumId w:val="27"/>
  </w:num>
  <w:num w:numId="36" w16cid:durableId="1823738319">
    <w:abstractNumId w:val="2"/>
  </w:num>
  <w:num w:numId="37" w16cid:durableId="2066876132">
    <w:abstractNumId w:val="21"/>
  </w:num>
  <w:num w:numId="38" w16cid:durableId="924647999">
    <w:abstractNumId w:val="16"/>
  </w:num>
  <w:num w:numId="39" w16cid:durableId="854923045">
    <w:abstractNumId w:val="11"/>
  </w:num>
  <w:num w:numId="40" w16cid:durableId="33578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43"/>
    <w:rsid w:val="00060C9D"/>
    <w:rsid w:val="0007139F"/>
    <w:rsid w:val="000D0795"/>
    <w:rsid w:val="000D2D1E"/>
    <w:rsid w:val="000D33B1"/>
    <w:rsid w:val="000E2349"/>
    <w:rsid w:val="000F4107"/>
    <w:rsid w:val="001037B7"/>
    <w:rsid w:val="00143747"/>
    <w:rsid w:val="00144603"/>
    <w:rsid w:val="00155C0A"/>
    <w:rsid w:val="0015723A"/>
    <w:rsid w:val="0017406B"/>
    <w:rsid w:val="00180B0F"/>
    <w:rsid w:val="001E3874"/>
    <w:rsid w:val="001E77B1"/>
    <w:rsid w:val="00201B9F"/>
    <w:rsid w:val="002846B7"/>
    <w:rsid w:val="002B7904"/>
    <w:rsid w:val="002D58DC"/>
    <w:rsid w:val="00303A03"/>
    <w:rsid w:val="0031704F"/>
    <w:rsid w:val="00331BDA"/>
    <w:rsid w:val="00344F5D"/>
    <w:rsid w:val="0034764A"/>
    <w:rsid w:val="00367470"/>
    <w:rsid w:val="003730F1"/>
    <w:rsid w:val="00377437"/>
    <w:rsid w:val="00383978"/>
    <w:rsid w:val="003931D2"/>
    <w:rsid w:val="003B0E43"/>
    <w:rsid w:val="003B3BCC"/>
    <w:rsid w:val="003B6155"/>
    <w:rsid w:val="003C3B70"/>
    <w:rsid w:val="003C79F5"/>
    <w:rsid w:val="003D5060"/>
    <w:rsid w:val="003F5DEF"/>
    <w:rsid w:val="0040158F"/>
    <w:rsid w:val="004156D6"/>
    <w:rsid w:val="00422120"/>
    <w:rsid w:val="0042393F"/>
    <w:rsid w:val="004265E9"/>
    <w:rsid w:val="0045445F"/>
    <w:rsid w:val="0046464A"/>
    <w:rsid w:val="0046581D"/>
    <w:rsid w:val="00484759"/>
    <w:rsid w:val="00492DB2"/>
    <w:rsid w:val="004D43B4"/>
    <w:rsid w:val="004D582B"/>
    <w:rsid w:val="005F5349"/>
    <w:rsid w:val="0060654F"/>
    <w:rsid w:val="00620BB4"/>
    <w:rsid w:val="00654BAD"/>
    <w:rsid w:val="00673188"/>
    <w:rsid w:val="00674CB8"/>
    <w:rsid w:val="00697074"/>
    <w:rsid w:val="006D74F2"/>
    <w:rsid w:val="006E5D46"/>
    <w:rsid w:val="00701912"/>
    <w:rsid w:val="007262BA"/>
    <w:rsid w:val="00734F81"/>
    <w:rsid w:val="007514BB"/>
    <w:rsid w:val="007552CF"/>
    <w:rsid w:val="007C4E54"/>
    <w:rsid w:val="00802747"/>
    <w:rsid w:val="00845279"/>
    <w:rsid w:val="008E3D45"/>
    <w:rsid w:val="008E5A43"/>
    <w:rsid w:val="008F683F"/>
    <w:rsid w:val="00903D2E"/>
    <w:rsid w:val="00926020"/>
    <w:rsid w:val="0092710D"/>
    <w:rsid w:val="00937CBA"/>
    <w:rsid w:val="00940366"/>
    <w:rsid w:val="00A05B2A"/>
    <w:rsid w:val="00A06333"/>
    <w:rsid w:val="00A22E5F"/>
    <w:rsid w:val="00A4209E"/>
    <w:rsid w:val="00A63A40"/>
    <w:rsid w:val="00A66A0E"/>
    <w:rsid w:val="00A82353"/>
    <w:rsid w:val="00AA523D"/>
    <w:rsid w:val="00AC1494"/>
    <w:rsid w:val="00AD286A"/>
    <w:rsid w:val="00AD5DC2"/>
    <w:rsid w:val="00B04575"/>
    <w:rsid w:val="00B32FCE"/>
    <w:rsid w:val="00B669F8"/>
    <w:rsid w:val="00B77943"/>
    <w:rsid w:val="00B8446A"/>
    <w:rsid w:val="00B86247"/>
    <w:rsid w:val="00C22EBD"/>
    <w:rsid w:val="00C2768F"/>
    <w:rsid w:val="00C3085E"/>
    <w:rsid w:val="00C402F2"/>
    <w:rsid w:val="00C83A0C"/>
    <w:rsid w:val="00C97697"/>
    <w:rsid w:val="00CB08B2"/>
    <w:rsid w:val="00CC036D"/>
    <w:rsid w:val="00D10AE3"/>
    <w:rsid w:val="00D16F86"/>
    <w:rsid w:val="00D35313"/>
    <w:rsid w:val="00D54C48"/>
    <w:rsid w:val="00D6480F"/>
    <w:rsid w:val="00D846D8"/>
    <w:rsid w:val="00D96373"/>
    <w:rsid w:val="00DC4974"/>
    <w:rsid w:val="00DD4B6E"/>
    <w:rsid w:val="00DD4C2D"/>
    <w:rsid w:val="00DE2944"/>
    <w:rsid w:val="00E03B53"/>
    <w:rsid w:val="00E33A16"/>
    <w:rsid w:val="00E35276"/>
    <w:rsid w:val="00EA14CA"/>
    <w:rsid w:val="00EA19F5"/>
    <w:rsid w:val="00EB465B"/>
    <w:rsid w:val="00EC4B24"/>
    <w:rsid w:val="00EE7942"/>
    <w:rsid w:val="00F100F9"/>
    <w:rsid w:val="00F3028E"/>
    <w:rsid w:val="00F3725E"/>
    <w:rsid w:val="00FA136F"/>
    <w:rsid w:val="00FA31B9"/>
    <w:rsid w:val="00FC2A84"/>
    <w:rsid w:val="00FC5B4A"/>
    <w:rsid w:val="00FD773F"/>
    <w:rsid w:val="00FF12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84C1"/>
  <w15:chartTrackingRefBased/>
  <w15:docId w15:val="{F21E661E-F9A2-497B-B002-00F2DD9F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64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94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77943"/>
    <w:rPr>
      <w:noProof/>
    </w:rPr>
  </w:style>
  <w:style w:type="paragraph" w:styleId="ListParagraph">
    <w:name w:val="List Paragraph"/>
    <w:basedOn w:val="Normal"/>
    <w:uiPriority w:val="34"/>
    <w:qFormat/>
    <w:rsid w:val="00B77943"/>
    <w:pPr>
      <w:ind w:left="720"/>
      <w:contextualSpacing/>
    </w:pPr>
  </w:style>
  <w:style w:type="paragraph" w:styleId="BalloonText">
    <w:name w:val="Balloon Text"/>
    <w:basedOn w:val="Normal"/>
    <w:link w:val="BalloonTextChar"/>
    <w:uiPriority w:val="99"/>
    <w:semiHidden/>
    <w:unhideWhenUsed/>
    <w:rsid w:val="003F5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DEF"/>
    <w:rPr>
      <w:rFonts w:ascii="Segoe UI" w:hAnsi="Segoe UI" w:cs="Segoe UI"/>
      <w:noProof/>
      <w:sz w:val="18"/>
      <w:szCs w:val="18"/>
    </w:rPr>
  </w:style>
  <w:style w:type="paragraph" w:styleId="NormalWeb">
    <w:name w:val="Normal (Web)"/>
    <w:basedOn w:val="Normal"/>
    <w:rsid w:val="00654BAD"/>
    <w:pPr>
      <w:suppressAutoHyphens/>
      <w:autoSpaceDN w:val="0"/>
      <w:spacing w:before="100" w:after="100" w:line="240" w:lineRule="auto"/>
      <w:textAlignment w:val="baseline"/>
    </w:pPr>
    <w:rPr>
      <w:rFonts w:ascii="Times New Roman" w:eastAsia="Times New Roman" w:hAnsi="Times New Roman" w:cs="Times New Roman"/>
      <w:noProof w:val="0"/>
      <w:sz w:val="24"/>
      <w:szCs w:val="24"/>
      <w:lang w:eastAsia="hr-HR"/>
    </w:rPr>
  </w:style>
  <w:style w:type="table" w:styleId="TableGrid">
    <w:name w:val="Table Grid"/>
    <w:basedOn w:val="TableNormal"/>
    <w:rsid w:val="00F1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CB08B2"/>
    <w:pPr>
      <w:spacing w:after="0" w:line="240" w:lineRule="auto"/>
      <w:jc w:val="both"/>
    </w:pPr>
    <w:rPr>
      <w:rFonts w:ascii="Arial" w:eastAsia="Times New Roman" w:hAnsi="Arial" w:cs="Arial"/>
      <w:noProof w:val="0"/>
      <w:color w:val="000000"/>
      <w:sz w:val="20"/>
      <w:szCs w:val="20"/>
      <w:shd w:val="clear" w:color="auto" w:fill="FFFFFF"/>
      <w:lang w:eastAsia="hr-HR"/>
    </w:rPr>
  </w:style>
  <w:style w:type="character" w:customStyle="1" w:styleId="BodyText2Char">
    <w:name w:val="Body Text 2 Char"/>
    <w:basedOn w:val="DefaultParagraphFont"/>
    <w:link w:val="BodyText2"/>
    <w:uiPriority w:val="99"/>
    <w:rsid w:val="00CB08B2"/>
    <w:rPr>
      <w:rFonts w:ascii="Arial" w:eastAsia="Times New Roman" w:hAnsi="Arial" w:cs="Arial"/>
      <w:color w:val="000000"/>
      <w:sz w:val="20"/>
      <w:szCs w:val="20"/>
      <w:lang w:eastAsia="hr-HR"/>
    </w:rPr>
  </w:style>
  <w:style w:type="paragraph" w:styleId="BodyText">
    <w:name w:val="Body Text"/>
    <w:basedOn w:val="Normal"/>
    <w:link w:val="BodyTextChar"/>
    <w:uiPriority w:val="99"/>
    <w:semiHidden/>
    <w:unhideWhenUsed/>
    <w:rsid w:val="00CB08B2"/>
    <w:pPr>
      <w:spacing w:after="120"/>
    </w:pPr>
  </w:style>
  <w:style w:type="character" w:customStyle="1" w:styleId="BodyTextChar">
    <w:name w:val="Body Text Char"/>
    <w:basedOn w:val="DefaultParagraphFont"/>
    <w:link w:val="BodyText"/>
    <w:uiPriority w:val="99"/>
    <w:semiHidden/>
    <w:rsid w:val="00CB08B2"/>
    <w:rPr>
      <w:noProof/>
    </w:rPr>
  </w:style>
  <w:style w:type="paragraph" w:styleId="BodyTextIndent">
    <w:name w:val="Body Text Indent"/>
    <w:basedOn w:val="Normal"/>
    <w:link w:val="BodyTextIndentChar"/>
    <w:uiPriority w:val="99"/>
    <w:semiHidden/>
    <w:unhideWhenUsed/>
    <w:rsid w:val="00CB08B2"/>
    <w:pPr>
      <w:spacing w:after="120"/>
      <w:ind w:left="283"/>
    </w:pPr>
  </w:style>
  <w:style w:type="character" w:customStyle="1" w:styleId="BodyTextIndentChar">
    <w:name w:val="Body Text Indent Char"/>
    <w:basedOn w:val="DefaultParagraphFont"/>
    <w:link w:val="BodyTextIndent"/>
    <w:uiPriority w:val="99"/>
    <w:semiHidden/>
    <w:rsid w:val="00CB08B2"/>
    <w:rPr>
      <w:noProof/>
    </w:rPr>
  </w:style>
  <w:style w:type="paragraph" w:styleId="BodyTextIndent2">
    <w:name w:val="Body Text Indent 2"/>
    <w:basedOn w:val="Normal"/>
    <w:link w:val="BodyTextIndent2Char"/>
    <w:uiPriority w:val="99"/>
    <w:semiHidden/>
    <w:unhideWhenUsed/>
    <w:rsid w:val="00CB08B2"/>
    <w:pPr>
      <w:spacing w:after="120" w:line="480" w:lineRule="auto"/>
      <w:ind w:left="283"/>
    </w:pPr>
  </w:style>
  <w:style w:type="character" w:customStyle="1" w:styleId="BodyTextIndent2Char">
    <w:name w:val="Body Text Indent 2 Char"/>
    <w:basedOn w:val="DefaultParagraphFont"/>
    <w:link w:val="BodyTextIndent2"/>
    <w:uiPriority w:val="99"/>
    <w:semiHidden/>
    <w:rsid w:val="00CB08B2"/>
    <w:rPr>
      <w:noProof/>
    </w:rPr>
  </w:style>
  <w:style w:type="paragraph" w:customStyle="1" w:styleId="sluzbeniclanak">
    <w:name w:val="sluzbeni_clanak"/>
    <w:basedOn w:val="Normal"/>
    <w:rsid w:val="00CB08B2"/>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customStyle="1" w:styleId="body">
    <w:name w:val="body"/>
    <w:basedOn w:val="Normal"/>
    <w:rsid w:val="00CB08B2"/>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customStyle="1" w:styleId="sluzbenibody-s-uvlakom-crtica">
    <w:name w:val="sluzbeni_body-s-uvlakom-crtica"/>
    <w:basedOn w:val="Normal"/>
    <w:rsid w:val="00CB08B2"/>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paragraph" w:styleId="BodyTextIndent3">
    <w:name w:val="Body Text Indent 3"/>
    <w:basedOn w:val="Normal"/>
    <w:link w:val="BodyTextIndent3Char"/>
    <w:uiPriority w:val="99"/>
    <w:semiHidden/>
    <w:unhideWhenUsed/>
    <w:rsid w:val="007262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262BA"/>
    <w:rPr>
      <w:noProof/>
      <w:sz w:val="16"/>
      <w:szCs w:val="16"/>
    </w:rPr>
  </w:style>
  <w:style w:type="table" w:customStyle="1" w:styleId="TableGrid1">
    <w:name w:val="Table Grid1"/>
    <w:basedOn w:val="TableNormal"/>
    <w:next w:val="TableGrid"/>
    <w:rsid w:val="007262BA"/>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B465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40503">
      <w:bodyDiv w:val="1"/>
      <w:marLeft w:val="0"/>
      <w:marRight w:val="0"/>
      <w:marTop w:val="0"/>
      <w:marBottom w:val="0"/>
      <w:divBdr>
        <w:top w:val="none" w:sz="0" w:space="0" w:color="auto"/>
        <w:left w:val="none" w:sz="0" w:space="0" w:color="auto"/>
        <w:bottom w:val="none" w:sz="0" w:space="0" w:color="auto"/>
        <w:right w:val="none" w:sz="0" w:space="0" w:color="auto"/>
      </w:divBdr>
    </w:div>
    <w:div w:id="1070036566">
      <w:bodyDiv w:val="1"/>
      <w:marLeft w:val="0"/>
      <w:marRight w:val="0"/>
      <w:marTop w:val="0"/>
      <w:marBottom w:val="0"/>
      <w:divBdr>
        <w:top w:val="none" w:sz="0" w:space="0" w:color="auto"/>
        <w:left w:val="none" w:sz="0" w:space="0" w:color="auto"/>
        <w:bottom w:val="none" w:sz="0" w:space="0" w:color="auto"/>
        <w:right w:val="none" w:sz="0" w:space="0" w:color="auto"/>
      </w:divBdr>
    </w:div>
    <w:div w:id="1111971758">
      <w:bodyDiv w:val="1"/>
      <w:marLeft w:val="0"/>
      <w:marRight w:val="0"/>
      <w:marTop w:val="0"/>
      <w:marBottom w:val="0"/>
      <w:divBdr>
        <w:top w:val="none" w:sz="0" w:space="0" w:color="auto"/>
        <w:left w:val="none" w:sz="0" w:space="0" w:color="auto"/>
        <w:bottom w:val="none" w:sz="0" w:space="0" w:color="auto"/>
        <w:right w:val="none" w:sz="0" w:space="0" w:color="auto"/>
      </w:divBdr>
    </w:div>
    <w:div w:id="1485657134">
      <w:bodyDiv w:val="1"/>
      <w:marLeft w:val="0"/>
      <w:marRight w:val="0"/>
      <w:marTop w:val="0"/>
      <w:marBottom w:val="0"/>
      <w:divBdr>
        <w:top w:val="none" w:sz="0" w:space="0" w:color="auto"/>
        <w:left w:val="none" w:sz="0" w:space="0" w:color="auto"/>
        <w:bottom w:val="none" w:sz="0" w:space="0" w:color="auto"/>
        <w:right w:val="none" w:sz="0" w:space="0" w:color="auto"/>
      </w:divBdr>
    </w:div>
    <w:div w:id="20240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1CBAE-76C6-4D0D-B244-F384E6A3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Čubranić</dc:creator>
  <cp:keywords/>
  <dc:description/>
  <cp:lastModifiedBy>Nina Kovač</cp:lastModifiedBy>
  <cp:revision>19</cp:revision>
  <cp:lastPrinted>2023-04-18T07:57:00Z</cp:lastPrinted>
  <dcterms:created xsi:type="dcterms:W3CDTF">2024-05-03T10:41:00Z</dcterms:created>
  <dcterms:modified xsi:type="dcterms:W3CDTF">2026-05-22T06:26:00Z</dcterms:modified>
</cp:coreProperties>
</file>