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E592862"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02404A">
        <w:t>36</w:t>
      </w:r>
      <w:r w:rsidR="001518E4" w:rsidRPr="00826B5B">
        <w:t xml:space="preserve"> </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5E336AD3" w:rsidR="00F70FFE" w:rsidRPr="00826B5B" w:rsidRDefault="00FE0C1B" w:rsidP="00CF5ADC">
      <w:r>
        <w:t>Omišalj</w:t>
      </w:r>
      <w:r w:rsidR="00E54028">
        <w:t xml:space="preserve">, </w:t>
      </w:r>
      <w:r w:rsidR="0002404A">
        <w:t>22. veljače</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3E69384E" w14:textId="77777777" w:rsidR="0002404A" w:rsidRDefault="00152942" w:rsidP="00CF5ADC">
            <w:pPr>
              <w:pStyle w:val="Header"/>
              <w:jc w:val="center"/>
              <w:rPr>
                <w:bCs/>
                <w:sz w:val="24"/>
                <w:szCs w:val="24"/>
              </w:rPr>
            </w:pPr>
            <w:r>
              <w:rPr>
                <w:b/>
                <w:sz w:val="24"/>
                <w:szCs w:val="24"/>
              </w:rPr>
              <w:t xml:space="preserve">Predmet nabave: </w:t>
            </w:r>
            <w:r w:rsidR="0002404A" w:rsidRPr="0002404A">
              <w:rPr>
                <w:bCs/>
                <w:sz w:val="24"/>
                <w:szCs w:val="24"/>
              </w:rPr>
              <w:t>Osiguranje imovine, djelatnika i javne odgovornosti</w:t>
            </w:r>
          </w:p>
          <w:p w14:paraId="1D5759D7" w14:textId="44103FB7" w:rsidR="00152942" w:rsidRDefault="0002404A" w:rsidP="00CF5ADC">
            <w:pPr>
              <w:pStyle w:val="Header"/>
              <w:jc w:val="center"/>
              <w:rPr>
                <w:b/>
                <w:sz w:val="24"/>
                <w:szCs w:val="24"/>
              </w:rPr>
            </w:pPr>
            <w:r w:rsidRPr="0002404A">
              <w:rPr>
                <w:bCs/>
                <w:sz w:val="24"/>
                <w:szCs w:val="24"/>
              </w:rPr>
              <w:t>u 2024. i 2025. godini</w:t>
            </w:r>
          </w:p>
          <w:p w14:paraId="2EB3DCCF" w14:textId="3FF8E695" w:rsidR="009020B0" w:rsidRDefault="00152942" w:rsidP="00CF5ADC">
            <w:pPr>
              <w:pStyle w:val="Header"/>
              <w:jc w:val="center"/>
              <w:rPr>
                <w:b/>
                <w:sz w:val="24"/>
                <w:szCs w:val="24"/>
              </w:rPr>
            </w:pPr>
            <w:r>
              <w:rPr>
                <w:b/>
                <w:sz w:val="24"/>
                <w:szCs w:val="24"/>
              </w:rPr>
              <w:t xml:space="preserve">Evidencijski broj nabave: </w:t>
            </w:r>
            <w:r w:rsidR="0002404A">
              <w:rPr>
                <w:bCs/>
                <w:sz w:val="24"/>
                <w:szCs w:val="24"/>
              </w:rPr>
              <w:t>20/24</w:t>
            </w:r>
          </w:p>
          <w:p w14:paraId="13774AE0" w14:textId="58F8129C" w:rsidR="00152942" w:rsidRPr="00826B5B" w:rsidRDefault="00152942" w:rsidP="00CF5ADC">
            <w:pPr>
              <w:pStyle w:val="Header"/>
              <w:jc w:val="center"/>
              <w:rPr>
                <w:b/>
                <w:sz w:val="24"/>
                <w:szCs w:val="24"/>
              </w:rPr>
            </w:pPr>
            <w:r>
              <w:rPr>
                <w:b/>
                <w:sz w:val="24"/>
                <w:szCs w:val="24"/>
              </w:rPr>
              <w:t xml:space="preserve">CPV oznaka: </w:t>
            </w:r>
            <w:r w:rsidR="0002404A" w:rsidRPr="0002404A">
              <w:rPr>
                <w:bCs/>
                <w:sz w:val="24"/>
                <w:szCs w:val="24"/>
              </w:rPr>
              <w:t xml:space="preserve">66510000 - </w:t>
            </w:r>
            <w:proofErr w:type="spellStart"/>
            <w:r w:rsidR="0002404A" w:rsidRPr="0002404A">
              <w:rPr>
                <w:bCs/>
                <w:sz w:val="24"/>
                <w:szCs w:val="24"/>
              </w:rPr>
              <w:t>Osigurateljne</w:t>
            </w:r>
            <w:proofErr w:type="spellEnd"/>
            <w:r w:rsidR="0002404A" w:rsidRPr="0002404A">
              <w:rPr>
                <w:bCs/>
                <w:sz w:val="24"/>
                <w:szCs w:val="24"/>
              </w:rPr>
              <w:t xml:space="preserve"> usluge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47855307" w:rsidR="004F51A4" w:rsidRDefault="0002404A" w:rsidP="00CF5ADC">
      <w:pPr>
        <w:rPr>
          <w:color w:val="000000"/>
        </w:rPr>
      </w:pPr>
      <w:r>
        <w:rPr>
          <w:color w:val="000000"/>
        </w:rPr>
        <w:t>20/24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311B5520" w:rsidR="004F51A4" w:rsidRPr="00C64053" w:rsidRDefault="0002404A" w:rsidP="00CF5ADC">
      <w:r w:rsidRPr="0002404A">
        <w:t xml:space="preserve">13.000,00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5AD3581" w14:textId="199C0122" w:rsidR="0002404A" w:rsidRPr="008F645B" w:rsidRDefault="0002404A" w:rsidP="0002404A">
      <w:pPr>
        <w:tabs>
          <w:tab w:val="left" w:pos="-2160"/>
        </w:tabs>
        <w:suppressAutoHyphens/>
        <w:autoSpaceDN w:val="0"/>
        <w:jc w:val="both"/>
        <w:textAlignment w:val="baseline"/>
        <w:rPr>
          <w:b/>
        </w:rPr>
      </w:pPr>
      <w:r w:rsidRPr="008F645B">
        <w:t xml:space="preserve">Usluge osiguranja imovine, djelatnika i javne odgovornosti </w:t>
      </w:r>
      <w:r>
        <w:t>Naručitelja, što</w:t>
      </w:r>
      <w:r>
        <w:t xml:space="preserve"> </w:t>
      </w:r>
      <w:r w:rsidRPr="008F645B">
        <w:t>obuhvaća:</w:t>
      </w:r>
    </w:p>
    <w:p w14:paraId="70EA7120" w14:textId="77777777" w:rsidR="0002404A" w:rsidRPr="008F645B" w:rsidRDefault="0002404A" w:rsidP="0002404A">
      <w:pPr>
        <w:numPr>
          <w:ilvl w:val="0"/>
          <w:numId w:val="38"/>
        </w:numPr>
        <w:rPr>
          <w:lang w:eastAsia="en-US"/>
        </w:rPr>
      </w:pPr>
      <w:r w:rsidRPr="008F645B">
        <w:rPr>
          <w:lang w:eastAsia="en-US"/>
        </w:rPr>
        <w:t>osiguranje od požara i nekih drugih opasnosti (FLEXA)</w:t>
      </w:r>
    </w:p>
    <w:p w14:paraId="6D02BB9A" w14:textId="77777777" w:rsidR="0002404A" w:rsidRPr="008F645B" w:rsidRDefault="0002404A" w:rsidP="0002404A">
      <w:pPr>
        <w:numPr>
          <w:ilvl w:val="0"/>
          <w:numId w:val="38"/>
        </w:numPr>
        <w:rPr>
          <w:lang w:eastAsia="en-US"/>
        </w:rPr>
      </w:pPr>
      <w:r w:rsidRPr="008F645B">
        <w:rPr>
          <w:lang w:eastAsia="en-US"/>
        </w:rPr>
        <w:t>osiguranje od potresa</w:t>
      </w:r>
    </w:p>
    <w:p w14:paraId="1CE40134" w14:textId="77777777" w:rsidR="0002404A" w:rsidRPr="008F645B" w:rsidRDefault="0002404A" w:rsidP="0002404A">
      <w:pPr>
        <w:numPr>
          <w:ilvl w:val="0"/>
          <w:numId w:val="38"/>
        </w:numPr>
        <w:rPr>
          <w:lang w:eastAsia="en-US"/>
        </w:rPr>
      </w:pPr>
      <w:r w:rsidRPr="008F645B">
        <w:rPr>
          <w:lang w:eastAsia="en-US"/>
        </w:rPr>
        <w:t>osiguranje od loma stroja</w:t>
      </w:r>
    </w:p>
    <w:p w14:paraId="720EDDE9" w14:textId="77777777" w:rsidR="0002404A" w:rsidRPr="008F645B" w:rsidRDefault="0002404A" w:rsidP="0002404A">
      <w:pPr>
        <w:numPr>
          <w:ilvl w:val="0"/>
          <w:numId w:val="38"/>
        </w:numPr>
        <w:rPr>
          <w:lang w:eastAsia="en-US"/>
        </w:rPr>
      </w:pPr>
      <w:r w:rsidRPr="008F645B">
        <w:rPr>
          <w:lang w:eastAsia="en-US"/>
        </w:rPr>
        <w:t>osiguranje od provalne krađe i razbojništva</w:t>
      </w:r>
    </w:p>
    <w:p w14:paraId="3F64326C" w14:textId="77777777" w:rsidR="0002404A" w:rsidRPr="008F645B" w:rsidRDefault="0002404A" w:rsidP="0002404A">
      <w:pPr>
        <w:numPr>
          <w:ilvl w:val="0"/>
          <w:numId w:val="38"/>
        </w:numPr>
        <w:rPr>
          <w:lang w:eastAsia="en-US"/>
        </w:rPr>
      </w:pPr>
      <w:r w:rsidRPr="008F645B">
        <w:rPr>
          <w:lang w:eastAsia="en-US"/>
        </w:rPr>
        <w:t>osiguranje stakla od loma</w:t>
      </w:r>
    </w:p>
    <w:p w14:paraId="01EF3FF7" w14:textId="77777777" w:rsidR="0002404A" w:rsidRPr="008F645B" w:rsidRDefault="0002404A" w:rsidP="0002404A">
      <w:pPr>
        <w:numPr>
          <w:ilvl w:val="0"/>
          <w:numId w:val="38"/>
        </w:numPr>
        <w:rPr>
          <w:lang w:eastAsia="en-US"/>
        </w:rPr>
      </w:pPr>
      <w:r w:rsidRPr="008F645B">
        <w:rPr>
          <w:lang w:eastAsia="en-US"/>
        </w:rPr>
        <w:t>osiguranje od nesretnog slučaja za djelatnike</w:t>
      </w:r>
    </w:p>
    <w:p w14:paraId="52759B54" w14:textId="77777777" w:rsidR="0002404A" w:rsidRDefault="0002404A" w:rsidP="0002404A">
      <w:pPr>
        <w:numPr>
          <w:ilvl w:val="0"/>
          <w:numId w:val="38"/>
        </w:numPr>
        <w:rPr>
          <w:lang w:eastAsia="en-US"/>
        </w:rPr>
      </w:pPr>
      <w:r w:rsidRPr="008F645B">
        <w:rPr>
          <w:lang w:eastAsia="en-US"/>
        </w:rPr>
        <w:t>osiguranje javne odgovornosti.</w:t>
      </w:r>
    </w:p>
    <w:p w14:paraId="04D4D2FE" w14:textId="77777777" w:rsidR="0002404A" w:rsidRDefault="0002404A" w:rsidP="0002404A">
      <w:pPr>
        <w:rPr>
          <w:lang w:eastAsia="en-US"/>
        </w:rPr>
      </w:pPr>
    </w:p>
    <w:p w14:paraId="7C2F35CF" w14:textId="77777777" w:rsidR="00911682" w:rsidRDefault="00911682" w:rsidP="00911682">
      <w:pPr>
        <w:jc w:val="both"/>
        <w:rPr>
          <w:lang w:eastAsia="en-US"/>
        </w:rPr>
      </w:pPr>
      <w:r>
        <w:rPr>
          <w:lang w:eastAsia="en-US"/>
        </w:rPr>
        <w:t>Uvjeti osiguranja:</w:t>
      </w:r>
    </w:p>
    <w:p w14:paraId="3A304C9F" w14:textId="77777777" w:rsidR="00911682" w:rsidRDefault="00911682" w:rsidP="00911682">
      <w:pPr>
        <w:numPr>
          <w:ilvl w:val="0"/>
          <w:numId w:val="38"/>
        </w:numPr>
        <w:jc w:val="both"/>
        <w:rPr>
          <w:lang w:eastAsia="en-US"/>
        </w:rPr>
      </w:pPr>
      <w:r>
        <w:rPr>
          <w:lang w:eastAsia="en-US"/>
        </w:rPr>
        <w:t>osiguratelj je dužan osigurati svu opremu i sličnu imovinu manje vrijednosti koju Naručitelj pribavi tokom trajanja ugovornog odnosa bez zahtijevanja dodatne naknade, iz razloga što je procijenjena vrijednost dodatne opreme i slične imovine manje vrijednosti uvrštena u za to predviđene stavke Troškovnika</w:t>
      </w:r>
    </w:p>
    <w:p w14:paraId="69F84481" w14:textId="77777777" w:rsidR="00911682" w:rsidRDefault="00911682" w:rsidP="00911682">
      <w:pPr>
        <w:numPr>
          <w:ilvl w:val="0"/>
          <w:numId w:val="38"/>
        </w:numPr>
        <w:jc w:val="both"/>
        <w:rPr>
          <w:lang w:eastAsia="en-US"/>
        </w:rPr>
      </w:pPr>
      <w:r>
        <w:rPr>
          <w:lang w:eastAsia="en-US"/>
        </w:rPr>
        <w:t>ukoliko Naručitelj tokom trajanja ugovornog odnosa pribavi imovinu značajne vrijednosti, za istu će se sklopiti dodatni ugovori/police osiguranja</w:t>
      </w:r>
    </w:p>
    <w:p w14:paraId="7468F369" w14:textId="77777777" w:rsidR="00911682" w:rsidRDefault="00911682" w:rsidP="00911682">
      <w:pPr>
        <w:numPr>
          <w:ilvl w:val="0"/>
          <w:numId w:val="38"/>
        </w:numPr>
        <w:jc w:val="both"/>
        <w:rPr>
          <w:lang w:eastAsia="en-US"/>
        </w:rPr>
      </w:pPr>
      <w:r>
        <w:rPr>
          <w:lang w:eastAsia="en-US"/>
        </w:rPr>
        <w:t>djelatnici Naručitelja koji se zaposle nakon početka važenja ugovora/police osiguranja u pokriću su s danom samog zaposlenja</w:t>
      </w:r>
    </w:p>
    <w:p w14:paraId="794EE838" w14:textId="77777777" w:rsidR="00911682" w:rsidRDefault="00911682" w:rsidP="00911682">
      <w:pPr>
        <w:numPr>
          <w:ilvl w:val="0"/>
          <w:numId w:val="38"/>
        </w:numPr>
        <w:jc w:val="both"/>
        <w:rPr>
          <w:lang w:eastAsia="en-US"/>
        </w:rPr>
      </w:pPr>
      <w:r>
        <w:rPr>
          <w:lang w:eastAsia="en-US"/>
        </w:rPr>
        <w:t>djelatnici</w:t>
      </w:r>
      <w:r w:rsidRPr="00FB1065">
        <w:rPr>
          <w:lang w:eastAsia="en-US"/>
        </w:rPr>
        <w:t xml:space="preserve"> </w:t>
      </w:r>
      <w:r>
        <w:rPr>
          <w:lang w:eastAsia="en-US"/>
        </w:rPr>
        <w:t>Naručitelja kojima prestane radni odnos nakon početka važenja ugovora/police osiguranja izvan su pokrića od dana prestanka radnog odnosa</w:t>
      </w:r>
    </w:p>
    <w:p w14:paraId="632FADE5" w14:textId="77777777" w:rsidR="00911682" w:rsidRDefault="00911682" w:rsidP="00911682">
      <w:pPr>
        <w:numPr>
          <w:ilvl w:val="0"/>
          <w:numId w:val="38"/>
        </w:numPr>
        <w:jc w:val="both"/>
        <w:rPr>
          <w:lang w:eastAsia="en-US"/>
        </w:rPr>
      </w:pPr>
      <w:r>
        <w:rPr>
          <w:lang w:eastAsia="en-US"/>
        </w:rPr>
        <w:t>djelatnici (osiguranici) Naručitelja u pokriću su 24 (dvadeset četiri) sata dnevno.</w:t>
      </w:r>
    </w:p>
    <w:p w14:paraId="2210B4B3" w14:textId="77777777" w:rsidR="00911682" w:rsidRDefault="00911682" w:rsidP="00911682">
      <w:pPr>
        <w:jc w:val="both"/>
      </w:pPr>
    </w:p>
    <w:p w14:paraId="3F39F72E" w14:textId="372F0647" w:rsidR="00911682" w:rsidRDefault="00323A9E" w:rsidP="00911682">
      <w:pPr>
        <w:jc w:val="both"/>
      </w:pPr>
      <w:r>
        <w:t>O</w:t>
      </w:r>
      <w:r w:rsidRPr="00BC29C4">
        <w:t>pseg usluga koje će se realizirati u sklopu predmeta nabave određen je Troškovnikom koji se ponuditeljima stavlja na raspolaganje kao Prilog 2. ovog Poziva.</w:t>
      </w:r>
    </w:p>
    <w:p w14:paraId="1612A269" w14:textId="77777777" w:rsidR="00911682" w:rsidRDefault="00911682" w:rsidP="00911682">
      <w:pPr>
        <w:jc w:val="both"/>
      </w:pPr>
    </w:p>
    <w:p w14:paraId="2A7ECF2B" w14:textId="5F171E7E" w:rsidR="00911682" w:rsidRPr="00BC29C4" w:rsidRDefault="00911682" w:rsidP="00911682">
      <w:pPr>
        <w:jc w:val="both"/>
        <w:rPr>
          <w:color w:val="000000"/>
        </w:rPr>
      </w:pPr>
      <w:r w:rsidRPr="00BC29C4">
        <w:rPr>
          <w:color w:val="000000"/>
        </w:rPr>
        <w:t xml:space="preserve">Ponuditelji su dužni u jedinične cijene iz ponudbenog Troškovnika uključiti sve troškove neophodne </w:t>
      </w:r>
      <w:r w:rsidRPr="00BC29C4">
        <w:rPr>
          <w:bCs/>
        </w:rPr>
        <w:t xml:space="preserve">za realizaciju predmeta nabave. </w:t>
      </w:r>
      <w:r w:rsidRPr="00BC29C4">
        <w:rPr>
          <w:color w:val="000000"/>
        </w:rPr>
        <w:t>Naknade iznad jediničnih cijena navedenih u ponudbenom Troškovniku neće se priznavati.</w:t>
      </w:r>
    </w:p>
    <w:p w14:paraId="412C6478" w14:textId="77777777" w:rsidR="00911682" w:rsidRDefault="00911682" w:rsidP="00911682">
      <w:pPr>
        <w:jc w:val="both"/>
        <w:rPr>
          <w:color w:val="000000"/>
        </w:rPr>
      </w:pPr>
    </w:p>
    <w:p w14:paraId="5053DD17" w14:textId="2C4DD68B" w:rsidR="00911682" w:rsidRPr="00BC29C4" w:rsidRDefault="00911682" w:rsidP="00911682">
      <w:pPr>
        <w:jc w:val="both"/>
      </w:pPr>
      <w:r w:rsidRPr="00BC29C4">
        <w:rPr>
          <w:color w:val="000000"/>
        </w:rPr>
        <w:t xml:space="preserve">Odabrani ponuditelj dužan je </w:t>
      </w:r>
      <w:r w:rsidRPr="00BC29C4">
        <w:t xml:space="preserve">usluge koje su predmet nabave </w:t>
      </w:r>
      <w:r w:rsidRPr="00BC29C4">
        <w:rPr>
          <w:color w:val="000000"/>
        </w:rPr>
        <w:t xml:space="preserve">realizirati </w:t>
      </w:r>
      <w:r w:rsidRPr="00BC29C4">
        <w:rPr>
          <w:bCs/>
        </w:rPr>
        <w:t>u skladu</w:t>
      </w:r>
      <w:r w:rsidRPr="00BC29C4">
        <w:t xml:space="preserve"> s Troškovnikom, važećim pozitivnim propisima, normativima i standardima te pravilima struke.</w:t>
      </w:r>
    </w:p>
    <w:p w14:paraId="20200CE2" w14:textId="77777777" w:rsidR="0002404A" w:rsidRDefault="0002404A" w:rsidP="0002404A">
      <w:pPr>
        <w:jc w:val="both"/>
        <w:rPr>
          <w:lang w:eastAsia="en-US"/>
        </w:rPr>
      </w:pPr>
    </w:p>
    <w:p w14:paraId="089AF8E5" w14:textId="34987539" w:rsidR="0002404A" w:rsidRPr="008F645B" w:rsidRDefault="0002404A" w:rsidP="0002404A">
      <w:pPr>
        <w:jc w:val="both"/>
        <w:rPr>
          <w:lang w:eastAsia="en-US"/>
        </w:rPr>
      </w:pPr>
      <w:r>
        <w:rPr>
          <w:lang w:eastAsia="en-US"/>
        </w:rPr>
        <w:lastRenderedPageBreak/>
        <w:t xml:space="preserve">U slučaju nepridržavanja </w:t>
      </w:r>
      <w:r w:rsidR="00911682">
        <w:rPr>
          <w:lang w:eastAsia="en-US"/>
        </w:rPr>
        <w:t xml:space="preserve">ugovornih obveza </w:t>
      </w:r>
      <w:r w:rsidR="00911682" w:rsidRPr="00BC29C4">
        <w:rPr>
          <w:color w:val="000000"/>
        </w:rPr>
        <w:t>od strane odabranog ponuditelja</w:t>
      </w:r>
      <w:r w:rsidR="00911682">
        <w:rPr>
          <w:color w:val="000000"/>
        </w:rPr>
        <w:t>,</w:t>
      </w:r>
      <w:r>
        <w:rPr>
          <w:lang w:eastAsia="en-US"/>
        </w:rPr>
        <w:t xml:space="preserve"> Naručitelj</w:t>
      </w:r>
      <w:r w:rsidR="00911682">
        <w:rPr>
          <w:lang w:eastAsia="en-US"/>
        </w:rPr>
        <w:t xml:space="preserve"> mu</w:t>
      </w:r>
      <w:r>
        <w:rPr>
          <w:lang w:eastAsia="en-US"/>
        </w:rPr>
        <w:t xml:space="preserve"> ima pravo naplatiti ugovornu kaznu u iznosu od 2‰ (slovima: dva promila) </w:t>
      </w:r>
      <w:r w:rsidR="00911682">
        <w:rPr>
          <w:lang w:eastAsia="en-US"/>
        </w:rPr>
        <w:t>za svaki dan</w:t>
      </w:r>
      <w:r>
        <w:rPr>
          <w:lang w:eastAsia="en-US"/>
        </w:rPr>
        <w:t xml:space="preserve"> zakašnjenja, a najviše u iznosu od </w:t>
      </w:r>
      <w:r w:rsidR="00911682">
        <w:rPr>
          <w:lang w:eastAsia="en-US"/>
        </w:rPr>
        <w:t>5</w:t>
      </w:r>
      <w:r>
        <w:rPr>
          <w:lang w:eastAsia="en-US"/>
        </w:rPr>
        <w:t xml:space="preserve">% (slovima: </w:t>
      </w:r>
      <w:r w:rsidR="00911682">
        <w:rPr>
          <w:lang w:eastAsia="en-US"/>
        </w:rPr>
        <w:t>pet</w:t>
      </w:r>
      <w:r>
        <w:rPr>
          <w:lang w:eastAsia="en-US"/>
        </w:rPr>
        <w:t xml:space="preserve"> posto) ukupne vrijednosti </w:t>
      </w:r>
      <w:r w:rsidR="00911682">
        <w:rPr>
          <w:lang w:eastAsia="en-US"/>
        </w:rPr>
        <w:t>ugovora/polica</w:t>
      </w:r>
      <w:r>
        <w:rPr>
          <w:lang w:eastAsia="en-US"/>
        </w:rPr>
        <w:t xml:space="preserve"> </w:t>
      </w:r>
      <w:r w:rsidR="00911682">
        <w:rPr>
          <w:lang w:eastAsia="en-US"/>
        </w:rPr>
        <w:t>sklopljenih temeljem provedenog predmetnog postupka nabave</w:t>
      </w:r>
      <w:r>
        <w:rPr>
          <w:lang w:eastAsia="en-US"/>
        </w:rPr>
        <w:t>.</w:t>
      </w:r>
    </w:p>
    <w:p w14:paraId="47053557" w14:textId="77777777" w:rsidR="00C64053" w:rsidRPr="00826B5B" w:rsidRDefault="00C64053" w:rsidP="00C64053"/>
    <w:p w14:paraId="2DDC1DA1" w14:textId="483139A5" w:rsidR="00C64053" w:rsidRPr="00826B5B" w:rsidRDefault="00C64053" w:rsidP="00C64053">
      <w:r w:rsidRPr="00826B5B">
        <w:t xml:space="preserve">CPV oznaka: </w:t>
      </w:r>
      <w:r w:rsidR="0002404A" w:rsidRPr="0002404A">
        <w:rPr>
          <w:bCs/>
        </w:rPr>
        <w:t xml:space="preserve">66510000 - </w:t>
      </w:r>
      <w:proofErr w:type="spellStart"/>
      <w:r w:rsidR="0002404A" w:rsidRPr="0002404A">
        <w:rPr>
          <w:bCs/>
        </w:rPr>
        <w:t>Osigurateljne</w:t>
      </w:r>
      <w:proofErr w:type="spellEnd"/>
      <w:r w:rsidR="0002404A" w:rsidRPr="0002404A">
        <w:rPr>
          <w:bCs/>
        </w:rPr>
        <w:t xml:space="preserve"> usluge</w:t>
      </w:r>
      <w:r>
        <w:t>.</w:t>
      </w:r>
    </w:p>
    <w:p w14:paraId="1EAD960A" w14:textId="77777777" w:rsidR="00E516EC" w:rsidRPr="00826B5B" w:rsidRDefault="00E516EC" w:rsidP="00CF5ADC">
      <w:pPr>
        <w:jc w:val="both"/>
        <w:rPr>
          <w:b/>
          <w:color w:val="000000"/>
        </w:rPr>
      </w:pPr>
    </w:p>
    <w:p w14:paraId="04E82CA0" w14:textId="77777777" w:rsidR="00D87C14" w:rsidRPr="008F645B" w:rsidRDefault="00D87C14" w:rsidP="00D87C14">
      <w:pPr>
        <w:pStyle w:val="ListParagraph"/>
        <w:numPr>
          <w:ilvl w:val="0"/>
          <w:numId w:val="27"/>
        </w:numPr>
        <w:shd w:val="clear" w:color="auto" w:fill="C6D9F1" w:themeFill="text2" w:themeFillTint="33"/>
        <w:jc w:val="both"/>
        <w:rPr>
          <w:b/>
          <w:color w:val="000000"/>
          <w:sz w:val="24"/>
          <w:szCs w:val="24"/>
        </w:rPr>
      </w:pPr>
      <w:r>
        <w:rPr>
          <w:b/>
          <w:color w:val="000000"/>
          <w:sz w:val="24"/>
          <w:szCs w:val="24"/>
        </w:rPr>
        <w:t>PODACI O LIKVIDIRANIM ŠTETAMA</w:t>
      </w:r>
      <w:r w:rsidRPr="008F645B">
        <w:rPr>
          <w:b/>
          <w:color w:val="000000"/>
          <w:sz w:val="24"/>
          <w:szCs w:val="24"/>
        </w:rPr>
        <w:t xml:space="preserve">: </w:t>
      </w:r>
    </w:p>
    <w:p w14:paraId="5A04B6DD" w14:textId="77777777" w:rsidR="00D87C14" w:rsidRDefault="00D87C14" w:rsidP="00D87C14"/>
    <w:tbl>
      <w:tblPr>
        <w:tblStyle w:val="TableGrid"/>
        <w:tblW w:w="0" w:type="auto"/>
        <w:jc w:val="center"/>
        <w:tblLook w:val="04A0" w:firstRow="1" w:lastRow="0" w:firstColumn="1" w:lastColumn="0" w:noHBand="0" w:noVBand="1"/>
      </w:tblPr>
      <w:tblGrid>
        <w:gridCol w:w="1957"/>
        <w:gridCol w:w="1363"/>
        <w:gridCol w:w="1440"/>
        <w:gridCol w:w="1447"/>
        <w:gridCol w:w="1493"/>
        <w:gridCol w:w="1363"/>
      </w:tblGrid>
      <w:tr w:rsidR="00D87C14" w14:paraId="562D8B2D" w14:textId="77777777" w:rsidTr="0017605D">
        <w:trPr>
          <w:jc w:val="center"/>
        </w:trPr>
        <w:tc>
          <w:tcPr>
            <w:tcW w:w="1957" w:type="dxa"/>
            <w:vMerge w:val="restart"/>
            <w:shd w:val="clear" w:color="auto" w:fill="8DB3E2" w:themeFill="text2" w:themeFillTint="66"/>
            <w:vAlign w:val="center"/>
          </w:tcPr>
          <w:p w14:paraId="26C2CF7D" w14:textId="77777777" w:rsidR="00D87C14" w:rsidRDefault="00D87C14" w:rsidP="0017605D">
            <w:pPr>
              <w:jc w:val="center"/>
            </w:pPr>
            <w:r>
              <w:t>Vrsta osiguranja</w:t>
            </w:r>
          </w:p>
        </w:tc>
        <w:tc>
          <w:tcPr>
            <w:tcW w:w="7106" w:type="dxa"/>
            <w:gridSpan w:val="5"/>
            <w:shd w:val="clear" w:color="auto" w:fill="8DB3E2" w:themeFill="text2" w:themeFillTint="66"/>
            <w:vAlign w:val="center"/>
          </w:tcPr>
          <w:p w14:paraId="1A9EB90B" w14:textId="77777777" w:rsidR="00D87C14" w:rsidRDefault="00D87C14" w:rsidP="0017605D">
            <w:pPr>
              <w:jc w:val="center"/>
            </w:pPr>
            <w:r>
              <w:t>Likvidirane štete (u EUR)</w:t>
            </w:r>
          </w:p>
        </w:tc>
      </w:tr>
      <w:tr w:rsidR="00D87C14" w14:paraId="31727BB7" w14:textId="77777777" w:rsidTr="0017605D">
        <w:trPr>
          <w:jc w:val="center"/>
        </w:trPr>
        <w:tc>
          <w:tcPr>
            <w:tcW w:w="1957" w:type="dxa"/>
            <w:vMerge/>
            <w:shd w:val="clear" w:color="auto" w:fill="8DB3E2" w:themeFill="text2" w:themeFillTint="66"/>
            <w:vAlign w:val="center"/>
          </w:tcPr>
          <w:p w14:paraId="2C410F52" w14:textId="77777777" w:rsidR="00D87C14" w:rsidRDefault="00D87C14" w:rsidP="0017605D">
            <w:pPr>
              <w:jc w:val="center"/>
            </w:pPr>
          </w:p>
        </w:tc>
        <w:tc>
          <w:tcPr>
            <w:tcW w:w="1363" w:type="dxa"/>
            <w:shd w:val="clear" w:color="auto" w:fill="8DB3E2" w:themeFill="text2" w:themeFillTint="66"/>
            <w:vAlign w:val="center"/>
          </w:tcPr>
          <w:p w14:paraId="56F58BB0" w14:textId="77777777" w:rsidR="00D87C14" w:rsidRDefault="00D87C14" w:rsidP="0017605D">
            <w:pPr>
              <w:jc w:val="center"/>
            </w:pPr>
            <w:r>
              <w:t>2019./2020.</w:t>
            </w:r>
          </w:p>
        </w:tc>
        <w:tc>
          <w:tcPr>
            <w:tcW w:w="1440" w:type="dxa"/>
            <w:shd w:val="clear" w:color="auto" w:fill="8DB3E2" w:themeFill="text2" w:themeFillTint="66"/>
            <w:vAlign w:val="center"/>
          </w:tcPr>
          <w:p w14:paraId="24FCC30B" w14:textId="77777777" w:rsidR="00D87C14" w:rsidRPr="00981969" w:rsidRDefault="00D87C14" w:rsidP="0017605D">
            <w:pPr>
              <w:jc w:val="center"/>
            </w:pPr>
            <w:r>
              <w:t>2020./ 2021.</w:t>
            </w:r>
          </w:p>
        </w:tc>
        <w:tc>
          <w:tcPr>
            <w:tcW w:w="1447" w:type="dxa"/>
            <w:shd w:val="clear" w:color="auto" w:fill="8DB3E2" w:themeFill="text2" w:themeFillTint="66"/>
            <w:vAlign w:val="center"/>
          </w:tcPr>
          <w:p w14:paraId="0FD34A40" w14:textId="77777777" w:rsidR="00D87C14" w:rsidRDefault="00D87C14" w:rsidP="0017605D">
            <w:pPr>
              <w:jc w:val="center"/>
            </w:pPr>
            <w:r>
              <w:t>2021./ 2022.</w:t>
            </w:r>
          </w:p>
        </w:tc>
        <w:tc>
          <w:tcPr>
            <w:tcW w:w="1493" w:type="dxa"/>
            <w:shd w:val="clear" w:color="auto" w:fill="8DB3E2" w:themeFill="text2" w:themeFillTint="66"/>
            <w:vAlign w:val="center"/>
          </w:tcPr>
          <w:p w14:paraId="37D43724" w14:textId="77777777" w:rsidR="00D87C14" w:rsidRDefault="00D87C14" w:rsidP="0017605D">
            <w:pPr>
              <w:jc w:val="center"/>
            </w:pPr>
            <w:r>
              <w:t>2022./ 2023.</w:t>
            </w:r>
          </w:p>
        </w:tc>
        <w:tc>
          <w:tcPr>
            <w:tcW w:w="1363" w:type="dxa"/>
            <w:shd w:val="clear" w:color="auto" w:fill="8DB3E2" w:themeFill="text2" w:themeFillTint="66"/>
            <w:vAlign w:val="center"/>
          </w:tcPr>
          <w:p w14:paraId="63543B44" w14:textId="77777777" w:rsidR="00D87C14" w:rsidRDefault="00D87C14" w:rsidP="0017605D">
            <w:pPr>
              <w:jc w:val="center"/>
            </w:pPr>
            <w:r>
              <w:t>2023./2024.</w:t>
            </w:r>
          </w:p>
        </w:tc>
      </w:tr>
      <w:tr w:rsidR="00D87C14" w14:paraId="451CA194" w14:textId="77777777" w:rsidTr="0017605D">
        <w:trPr>
          <w:jc w:val="center"/>
        </w:trPr>
        <w:tc>
          <w:tcPr>
            <w:tcW w:w="1957" w:type="dxa"/>
            <w:vAlign w:val="center"/>
          </w:tcPr>
          <w:p w14:paraId="1000F76C" w14:textId="77777777" w:rsidR="00D87C14" w:rsidRDefault="00D87C14" w:rsidP="0017605D">
            <w:pPr>
              <w:jc w:val="center"/>
            </w:pPr>
            <w:r>
              <w:t>Štete na imovini</w:t>
            </w:r>
          </w:p>
        </w:tc>
        <w:tc>
          <w:tcPr>
            <w:tcW w:w="1363" w:type="dxa"/>
            <w:vAlign w:val="center"/>
          </w:tcPr>
          <w:p w14:paraId="102098D8" w14:textId="77777777" w:rsidR="00D87C14" w:rsidRDefault="00D87C14" w:rsidP="0017605D">
            <w:pPr>
              <w:jc w:val="center"/>
            </w:pPr>
            <w:r>
              <w:t>0,00</w:t>
            </w:r>
          </w:p>
        </w:tc>
        <w:tc>
          <w:tcPr>
            <w:tcW w:w="1440" w:type="dxa"/>
            <w:vAlign w:val="center"/>
          </w:tcPr>
          <w:p w14:paraId="4D944932" w14:textId="77777777" w:rsidR="00D87C14" w:rsidRDefault="00D87C14" w:rsidP="0017605D">
            <w:pPr>
              <w:jc w:val="center"/>
            </w:pPr>
            <w:r>
              <w:t>894,55</w:t>
            </w:r>
          </w:p>
        </w:tc>
        <w:tc>
          <w:tcPr>
            <w:tcW w:w="1447" w:type="dxa"/>
            <w:vAlign w:val="center"/>
          </w:tcPr>
          <w:p w14:paraId="4CC8DBE1" w14:textId="77777777" w:rsidR="00D87C14" w:rsidRDefault="00D87C14" w:rsidP="0017605D">
            <w:pPr>
              <w:jc w:val="center"/>
            </w:pPr>
            <w:r>
              <w:t>1.772,54</w:t>
            </w:r>
          </w:p>
        </w:tc>
        <w:tc>
          <w:tcPr>
            <w:tcW w:w="1493" w:type="dxa"/>
            <w:vAlign w:val="center"/>
          </w:tcPr>
          <w:p w14:paraId="50A822F9" w14:textId="77777777" w:rsidR="00D87C14" w:rsidRDefault="00D87C14" w:rsidP="0017605D">
            <w:pPr>
              <w:jc w:val="center"/>
            </w:pPr>
            <w:r>
              <w:t>952,29</w:t>
            </w:r>
          </w:p>
        </w:tc>
        <w:tc>
          <w:tcPr>
            <w:tcW w:w="1363" w:type="dxa"/>
            <w:vAlign w:val="center"/>
          </w:tcPr>
          <w:p w14:paraId="5D529B4C" w14:textId="670509F7" w:rsidR="00D87C14" w:rsidRDefault="00D87C14" w:rsidP="0017605D">
            <w:pPr>
              <w:jc w:val="center"/>
            </w:pPr>
            <w:r>
              <w:t>0,00</w:t>
            </w:r>
          </w:p>
        </w:tc>
      </w:tr>
      <w:tr w:rsidR="00D87C14" w14:paraId="2F048386" w14:textId="77777777" w:rsidTr="0017605D">
        <w:trPr>
          <w:jc w:val="center"/>
        </w:trPr>
        <w:tc>
          <w:tcPr>
            <w:tcW w:w="1957" w:type="dxa"/>
            <w:vAlign w:val="center"/>
          </w:tcPr>
          <w:p w14:paraId="766F84FA" w14:textId="77777777" w:rsidR="00D87C14" w:rsidRDefault="00D87C14" w:rsidP="0017605D">
            <w:pPr>
              <w:jc w:val="center"/>
            </w:pPr>
            <w:r>
              <w:t>Javna odgovornost</w:t>
            </w:r>
          </w:p>
        </w:tc>
        <w:tc>
          <w:tcPr>
            <w:tcW w:w="1363" w:type="dxa"/>
            <w:vAlign w:val="center"/>
          </w:tcPr>
          <w:p w14:paraId="2F4D5F56" w14:textId="77777777" w:rsidR="00D87C14" w:rsidRDefault="00D87C14" w:rsidP="0017605D">
            <w:pPr>
              <w:jc w:val="center"/>
            </w:pPr>
            <w:r>
              <w:t>2.362,47</w:t>
            </w:r>
          </w:p>
        </w:tc>
        <w:tc>
          <w:tcPr>
            <w:tcW w:w="1440" w:type="dxa"/>
            <w:vAlign w:val="center"/>
          </w:tcPr>
          <w:p w14:paraId="464F2B1A" w14:textId="77777777" w:rsidR="00D87C14" w:rsidRDefault="00D87C14" w:rsidP="0017605D">
            <w:pPr>
              <w:jc w:val="center"/>
            </w:pPr>
            <w:r>
              <w:t>0,00</w:t>
            </w:r>
          </w:p>
        </w:tc>
        <w:tc>
          <w:tcPr>
            <w:tcW w:w="1447" w:type="dxa"/>
            <w:vAlign w:val="center"/>
          </w:tcPr>
          <w:p w14:paraId="66355B83" w14:textId="77777777" w:rsidR="00D87C14" w:rsidRDefault="00D87C14" w:rsidP="0017605D">
            <w:pPr>
              <w:jc w:val="center"/>
            </w:pPr>
            <w:r>
              <w:t>0,00</w:t>
            </w:r>
          </w:p>
        </w:tc>
        <w:tc>
          <w:tcPr>
            <w:tcW w:w="1493" w:type="dxa"/>
            <w:vAlign w:val="center"/>
          </w:tcPr>
          <w:p w14:paraId="28048CFA" w14:textId="77777777" w:rsidR="00D87C14" w:rsidRDefault="00D87C14" w:rsidP="0017605D">
            <w:pPr>
              <w:jc w:val="center"/>
            </w:pPr>
            <w:r>
              <w:t>5.970,46</w:t>
            </w:r>
          </w:p>
        </w:tc>
        <w:tc>
          <w:tcPr>
            <w:tcW w:w="1363" w:type="dxa"/>
            <w:vAlign w:val="center"/>
          </w:tcPr>
          <w:p w14:paraId="51A12B3C" w14:textId="7C749F58" w:rsidR="00D87C14" w:rsidRDefault="00D87C14" w:rsidP="0017605D">
            <w:pPr>
              <w:jc w:val="center"/>
            </w:pPr>
            <w:r>
              <w:t>0,00</w:t>
            </w:r>
          </w:p>
        </w:tc>
      </w:tr>
      <w:tr w:rsidR="00D87C14" w14:paraId="70F2648C" w14:textId="77777777" w:rsidTr="0017605D">
        <w:trPr>
          <w:jc w:val="center"/>
        </w:trPr>
        <w:tc>
          <w:tcPr>
            <w:tcW w:w="1957" w:type="dxa"/>
            <w:vAlign w:val="center"/>
          </w:tcPr>
          <w:p w14:paraId="5B3686A4" w14:textId="77777777" w:rsidR="00D87C14" w:rsidRDefault="00D87C14" w:rsidP="0017605D">
            <w:pPr>
              <w:jc w:val="center"/>
            </w:pPr>
            <w:r>
              <w:t>Putno osiguranje</w:t>
            </w:r>
          </w:p>
        </w:tc>
        <w:tc>
          <w:tcPr>
            <w:tcW w:w="1363" w:type="dxa"/>
            <w:vAlign w:val="center"/>
          </w:tcPr>
          <w:p w14:paraId="55D82F0C" w14:textId="77777777" w:rsidR="00D87C14" w:rsidRDefault="00D87C14" w:rsidP="0017605D">
            <w:pPr>
              <w:jc w:val="center"/>
            </w:pPr>
            <w:r>
              <w:t>0,00</w:t>
            </w:r>
          </w:p>
        </w:tc>
        <w:tc>
          <w:tcPr>
            <w:tcW w:w="1440" w:type="dxa"/>
            <w:vAlign w:val="center"/>
          </w:tcPr>
          <w:p w14:paraId="6191C7A8" w14:textId="77777777" w:rsidR="00D87C14" w:rsidRDefault="00D87C14" w:rsidP="0017605D">
            <w:pPr>
              <w:jc w:val="center"/>
            </w:pPr>
            <w:r>
              <w:t>11,95</w:t>
            </w:r>
          </w:p>
        </w:tc>
        <w:tc>
          <w:tcPr>
            <w:tcW w:w="1447" w:type="dxa"/>
            <w:vAlign w:val="center"/>
          </w:tcPr>
          <w:p w14:paraId="30A5723E" w14:textId="77777777" w:rsidR="00D87C14" w:rsidRDefault="00D87C14" w:rsidP="0017605D">
            <w:pPr>
              <w:jc w:val="center"/>
            </w:pPr>
            <w:r>
              <w:t>23,89</w:t>
            </w:r>
          </w:p>
        </w:tc>
        <w:tc>
          <w:tcPr>
            <w:tcW w:w="1493" w:type="dxa"/>
            <w:vAlign w:val="center"/>
          </w:tcPr>
          <w:p w14:paraId="561C71D0" w14:textId="77777777" w:rsidR="00D87C14" w:rsidRDefault="00D87C14" w:rsidP="0017605D">
            <w:pPr>
              <w:jc w:val="center"/>
            </w:pPr>
            <w:r>
              <w:t>0,00</w:t>
            </w:r>
          </w:p>
        </w:tc>
        <w:tc>
          <w:tcPr>
            <w:tcW w:w="1363" w:type="dxa"/>
            <w:vAlign w:val="center"/>
          </w:tcPr>
          <w:p w14:paraId="1C4728BC" w14:textId="348572A9" w:rsidR="00D87C14" w:rsidRDefault="00D87C14" w:rsidP="0017605D">
            <w:pPr>
              <w:jc w:val="center"/>
            </w:pPr>
            <w:r>
              <w:t>0,00</w:t>
            </w:r>
          </w:p>
        </w:tc>
      </w:tr>
      <w:tr w:rsidR="00D87C14" w14:paraId="319D01DD" w14:textId="77777777" w:rsidTr="00D87C14">
        <w:trPr>
          <w:jc w:val="center"/>
        </w:trPr>
        <w:tc>
          <w:tcPr>
            <w:tcW w:w="1957" w:type="dxa"/>
            <w:tcBorders>
              <w:bottom w:val="single" w:sz="4" w:space="0" w:color="auto"/>
            </w:tcBorders>
            <w:shd w:val="clear" w:color="auto" w:fill="BFBFBF" w:themeFill="background1" w:themeFillShade="BF"/>
            <w:vAlign w:val="center"/>
          </w:tcPr>
          <w:p w14:paraId="1E084E2A" w14:textId="77777777" w:rsidR="00D87C14" w:rsidRDefault="00D87C14" w:rsidP="0017605D">
            <w:pPr>
              <w:jc w:val="center"/>
            </w:pPr>
            <w:r>
              <w:t>Ukupno</w:t>
            </w:r>
          </w:p>
        </w:tc>
        <w:tc>
          <w:tcPr>
            <w:tcW w:w="1363" w:type="dxa"/>
            <w:tcBorders>
              <w:bottom w:val="single" w:sz="4" w:space="0" w:color="auto"/>
            </w:tcBorders>
            <w:shd w:val="clear" w:color="auto" w:fill="BFBFBF" w:themeFill="background1" w:themeFillShade="BF"/>
            <w:vAlign w:val="center"/>
          </w:tcPr>
          <w:p w14:paraId="3FAB6C1D" w14:textId="77777777" w:rsidR="00D87C14" w:rsidRDefault="00D87C14" w:rsidP="0017605D">
            <w:pPr>
              <w:jc w:val="center"/>
            </w:pPr>
            <w:r>
              <w:t>2.362,47</w:t>
            </w:r>
          </w:p>
        </w:tc>
        <w:tc>
          <w:tcPr>
            <w:tcW w:w="1440" w:type="dxa"/>
            <w:tcBorders>
              <w:bottom w:val="single" w:sz="4" w:space="0" w:color="auto"/>
            </w:tcBorders>
            <w:shd w:val="clear" w:color="auto" w:fill="BFBFBF" w:themeFill="background1" w:themeFillShade="BF"/>
            <w:vAlign w:val="center"/>
          </w:tcPr>
          <w:p w14:paraId="2E5F599F" w14:textId="77777777" w:rsidR="00D87C14" w:rsidRDefault="00D87C14" w:rsidP="0017605D">
            <w:pPr>
              <w:jc w:val="center"/>
            </w:pPr>
            <w:r>
              <w:t>906,50</w:t>
            </w:r>
          </w:p>
        </w:tc>
        <w:tc>
          <w:tcPr>
            <w:tcW w:w="1447" w:type="dxa"/>
            <w:tcBorders>
              <w:bottom w:val="single" w:sz="4" w:space="0" w:color="auto"/>
            </w:tcBorders>
            <w:shd w:val="clear" w:color="auto" w:fill="BFBFBF" w:themeFill="background1" w:themeFillShade="BF"/>
            <w:vAlign w:val="center"/>
          </w:tcPr>
          <w:p w14:paraId="1AFDEE5F" w14:textId="77777777" w:rsidR="00D87C14" w:rsidRDefault="00D87C14" w:rsidP="0017605D">
            <w:pPr>
              <w:jc w:val="center"/>
            </w:pPr>
            <w:r>
              <w:t>1.796,43</w:t>
            </w:r>
          </w:p>
        </w:tc>
        <w:tc>
          <w:tcPr>
            <w:tcW w:w="1493" w:type="dxa"/>
            <w:tcBorders>
              <w:bottom w:val="single" w:sz="4" w:space="0" w:color="auto"/>
            </w:tcBorders>
            <w:shd w:val="clear" w:color="auto" w:fill="BFBFBF" w:themeFill="background1" w:themeFillShade="BF"/>
            <w:vAlign w:val="center"/>
          </w:tcPr>
          <w:p w14:paraId="1AAE828A" w14:textId="77777777" w:rsidR="00D87C14" w:rsidRDefault="00D87C14" w:rsidP="0017605D">
            <w:pPr>
              <w:jc w:val="center"/>
            </w:pPr>
            <w:r>
              <w:t>6.922,75</w:t>
            </w:r>
          </w:p>
        </w:tc>
        <w:tc>
          <w:tcPr>
            <w:tcW w:w="1363" w:type="dxa"/>
            <w:tcBorders>
              <w:bottom w:val="single" w:sz="4" w:space="0" w:color="auto"/>
            </w:tcBorders>
            <w:shd w:val="clear" w:color="auto" w:fill="BFBFBF" w:themeFill="background1" w:themeFillShade="BF"/>
            <w:vAlign w:val="center"/>
          </w:tcPr>
          <w:p w14:paraId="33D29B4F" w14:textId="6A3C7556" w:rsidR="00D87C14" w:rsidRDefault="00D87C14" w:rsidP="0017605D">
            <w:pPr>
              <w:jc w:val="center"/>
            </w:pPr>
            <w:r>
              <w:t>0,00</w:t>
            </w:r>
          </w:p>
        </w:tc>
      </w:tr>
      <w:tr w:rsidR="00D87C14" w14:paraId="194E7C16" w14:textId="77777777" w:rsidTr="00D87C14">
        <w:trPr>
          <w:jc w:val="center"/>
        </w:trPr>
        <w:tc>
          <w:tcPr>
            <w:tcW w:w="1957" w:type="dxa"/>
            <w:tcBorders>
              <w:left w:val="nil"/>
              <w:right w:val="nil"/>
            </w:tcBorders>
            <w:shd w:val="clear" w:color="auto" w:fill="auto"/>
            <w:vAlign w:val="center"/>
          </w:tcPr>
          <w:p w14:paraId="6DEE7675" w14:textId="77777777" w:rsidR="00D87C14" w:rsidRDefault="00D87C14" w:rsidP="0017605D">
            <w:pPr>
              <w:jc w:val="center"/>
            </w:pPr>
          </w:p>
        </w:tc>
        <w:tc>
          <w:tcPr>
            <w:tcW w:w="1363" w:type="dxa"/>
            <w:tcBorders>
              <w:left w:val="nil"/>
              <w:right w:val="nil"/>
            </w:tcBorders>
            <w:shd w:val="clear" w:color="auto" w:fill="auto"/>
            <w:vAlign w:val="center"/>
          </w:tcPr>
          <w:p w14:paraId="70434EBA" w14:textId="77777777" w:rsidR="00D87C14" w:rsidRDefault="00D87C14" w:rsidP="0017605D">
            <w:pPr>
              <w:jc w:val="center"/>
            </w:pPr>
          </w:p>
        </w:tc>
        <w:tc>
          <w:tcPr>
            <w:tcW w:w="1440" w:type="dxa"/>
            <w:tcBorders>
              <w:left w:val="nil"/>
              <w:right w:val="nil"/>
            </w:tcBorders>
            <w:shd w:val="clear" w:color="auto" w:fill="auto"/>
            <w:vAlign w:val="center"/>
          </w:tcPr>
          <w:p w14:paraId="613028E2" w14:textId="77777777" w:rsidR="00D87C14" w:rsidRDefault="00D87C14" w:rsidP="0017605D">
            <w:pPr>
              <w:jc w:val="center"/>
            </w:pPr>
          </w:p>
        </w:tc>
        <w:tc>
          <w:tcPr>
            <w:tcW w:w="1447" w:type="dxa"/>
            <w:tcBorders>
              <w:left w:val="nil"/>
              <w:right w:val="nil"/>
            </w:tcBorders>
            <w:shd w:val="clear" w:color="auto" w:fill="auto"/>
            <w:vAlign w:val="center"/>
          </w:tcPr>
          <w:p w14:paraId="0F9D54EC" w14:textId="77777777" w:rsidR="00D87C14" w:rsidRDefault="00D87C14" w:rsidP="0017605D">
            <w:pPr>
              <w:jc w:val="center"/>
            </w:pPr>
          </w:p>
        </w:tc>
        <w:tc>
          <w:tcPr>
            <w:tcW w:w="1493" w:type="dxa"/>
            <w:tcBorders>
              <w:left w:val="nil"/>
              <w:right w:val="nil"/>
            </w:tcBorders>
            <w:shd w:val="clear" w:color="auto" w:fill="auto"/>
            <w:vAlign w:val="center"/>
          </w:tcPr>
          <w:p w14:paraId="21CFAE03" w14:textId="77777777" w:rsidR="00D87C14" w:rsidRDefault="00D87C14" w:rsidP="0017605D">
            <w:pPr>
              <w:jc w:val="center"/>
            </w:pPr>
          </w:p>
        </w:tc>
        <w:tc>
          <w:tcPr>
            <w:tcW w:w="1363" w:type="dxa"/>
            <w:tcBorders>
              <w:left w:val="nil"/>
              <w:right w:val="nil"/>
            </w:tcBorders>
            <w:shd w:val="clear" w:color="auto" w:fill="auto"/>
            <w:vAlign w:val="center"/>
          </w:tcPr>
          <w:p w14:paraId="37537F7C" w14:textId="77777777" w:rsidR="00D87C14" w:rsidRDefault="00D87C14" w:rsidP="0017605D">
            <w:pPr>
              <w:jc w:val="center"/>
            </w:pPr>
          </w:p>
        </w:tc>
      </w:tr>
      <w:tr w:rsidR="00D87C14" w:rsidRPr="0085258C" w14:paraId="72DDBF94" w14:textId="77777777" w:rsidTr="0017605D">
        <w:trPr>
          <w:jc w:val="center"/>
        </w:trPr>
        <w:tc>
          <w:tcPr>
            <w:tcW w:w="1957" w:type="dxa"/>
            <w:vMerge w:val="restart"/>
            <w:shd w:val="clear" w:color="auto" w:fill="8DB3E2" w:themeFill="text2" w:themeFillTint="66"/>
            <w:vAlign w:val="center"/>
          </w:tcPr>
          <w:p w14:paraId="6F5D3ECB" w14:textId="77777777" w:rsidR="00D87C14" w:rsidRPr="0085258C" w:rsidRDefault="00D87C14" w:rsidP="0017605D">
            <w:pPr>
              <w:jc w:val="center"/>
            </w:pPr>
            <w:r w:rsidRPr="0085258C">
              <w:t>Vrsta osiguranja</w:t>
            </w:r>
          </w:p>
        </w:tc>
        <w:tc>
          <w:tcPr>
            <w:tcW w:w="7106" w:type="dxa"/>
            <w:gridSpan w:val="5"/>
            <w:shd w:val="clear" w:color="auto" w:fill="8DB3E2" w:themeFill="text2" w:themeFillTint="66"/>
            <w:vAlign w:val="center"/>
          </w:tcPr>
          <w:p w14:paraId="673EE4D5" w14:textId="77777777" w:rsidR="00D87C14" w:rsidRPr="0085258C" w:rsidRDefault="00D87C14" w:rsidP="0017605D">
            <w:pPr>
              <w:jc w:val="center"/>
            </w:pPr>
            <w:r w:rsidRPr="0085258C">
              <w:t>Iznos pričuve (u EUR)</w:t>
            </w:r>
          </w:p>
        </w:tc>
      </w:tr>
      <w:tr w:rsidR="00D87C14" w14:paraId="6C8C6570" w14:textId="77777777" w:rsidTr="0017605D">
        <w:trPr>
          <w:jc w:val="center"/>
        </w:trPr>
        <w:tc>
          <w:tcPr>
            <w:tcW w:w="1957" w:type="dxa"/>
            <w:vMerge/>
            <w:shd w:val="clear" w:color="auto" w:fill="8DB3E2" w:themeFill="text2" w:themeFillTint="66"/>
            <w:vAlign w:val="center"/>
          </w:tcPr>
          <w:p w14:paraId="400B88CD" w14:textId="77777777" w:rsidR="00D87C14" w:rsidRPr="0085258C" w:rsidRDefault="00D87C14" w:rsidP="0017605D">
            <w:pPr>
              <w:jc w:val="center"/>
            </w:pPr>
          </w:p>
        </w:tc>
        <w:tc>
          <w:tcPr>
            <w:tcW w:w="1363" w:type="dxa"/>
            <w:shd w:val="clear" w:color="auto" w:fill="8DB3E2" w:themeFill="text2" w:themeFillTint="66"/>
            <w:vAlign w:val="center"/>
          </w:tcPr>
          <w:p w14:paraId="158BFA04" w14:textId="77777777" w:rsidR="00D87C14" w:rsidRPr="0085258C" w:rsidRDefault="00D87C14" w:rsidP="0017605D">
            <w:pPr>
              <w:jc w:val="center"/>
            </w:pPr>
            <w:r>
              <w:t>2019./2020.</w:t>
            </w:r>
          </w:p>
        </w:tc>
        <w:tc>
          <w:tcPr>
            <w:tcW w:w="1440" w:type="dxa"/>
            <w:shd w:val="clear" w:color="auto" w:fill="8DB3E2" w:themeFill="text2" w:themeFillTint="66"/>
            <w:vAlign w:val="center"/>
          </w:tcPr>
          <w:p w14:paraId="36032141" w14:textId="77777777" w:rsidR="00D87C14" w:rsidRPr="0085258C" w:rsidRDefault="00D87C14" w:rsidP="0017605D">
            <w:pPr>
              <w:jc w:val="center"/>
            </w:pPr>
            <w:r>
              <w:t>2020./ 2021.</w:t>
            </w:r>
          </w:p>
        </w:tc>
        <w:tc>
          <w:tcPr>
            <w:tcW w:w="1447" w:type="dxa"/>
            <w:shd w:val="clear" w:color="auto" w:fill="8DB3E2" w:themeFill="text2" w:themeFillTint="66"/>
            <w:vAlign w:val="center"/>
          </w:tcPr>
          <w:p w14:paraId="311F7E20" w14:textId="77777777" w:rsidR="00D87C14" w:rsidRPr="0085258C" w:rsidRDefault="00D87C14" w:rsidP="0017605D">
            <w:pPr>
              <w:jc w:val="center"/>
            </w:pPr>
            <w:r>
              <w:t>2021./ 2022.</w:t>
            </w:r>
          </w:p>
        </w:tc>
        <w:tc>
          <w:tcPr>
            <w:tcW w:w="1493" w:type="dxa"/>
            <w:shd w:val="clear" w:color="auto" w:fill="8DB3E2" w:themeFill="text2" w:themeFillTint="66"/>
            <w:vAlign w:val="center"/>
          </w:tcPr>
          <w:p w14:paraId="20365E5B" w14:textId="77777777" w:rsidR="00D87C14" w:rsidRPr="0085258C" w:rsidRDefault="00D87C14" w:rsidP="0017605D">
            <w:pPr>
              <w:jc w:val="center"/>
            </w:pPr>
            <w:r>
              <w:t>2022./ 2023.</w:t>
            </w:r>
          </w:p>
        </w:tc>
        <w:tc>
          <w:tcPr>
            <w:tcW w:w="1363" w:type="dxa"/>
            <w:shd w:val="clear" w:color="auto" w:fill="8DB3E2" w:themeFill="text2" w:themeFillTint="66"/>
            <w:vAlign w:val="center"/>
          </w:tcPr>
          <w:p w14:paraId="60CE7C88" w14:textId="77777777" w:rsidR="00D87C14" w:rsidRPr="0085258C" w:rsidRDefault="00D87C14" w:rsidP="0017605D">
            <w:pPr>
              <w:jc w:val="center"/>
            </w:pPr>
            <w:r>
              <w:t>2023./2024.</w:t>
            </w:r>
          </w:p>
        </w:tc>
      </w:tr>
      <w:tr w:rsidR="00D87C14" w14:paraId="3407B13C" w14:textId="77777777" w:rsidTr="0017605D">
        <w:trPr>
          <w:jc w:val="center"/>
        </w:trPr>
        <w:tc>
          <w:tcPr>
            <w:tcW w:w="1957" w:type="dxa"/>
            <w:vAlign w:val="center"/>
          </w:tcPr>
          <w:p w14:paraId="611C7970" w14:textId="77777777" w:rsidR="00D87C14" w:rsidRDefault="00D87C14" w:rsidP="0017605D">
            <w:pPr>
              <w:jc w:val="center"/>
            </w:pPr>
            <w:r>
              <w:t>Štete na imovini</w:t>
            </w:r>
          </w:p>
        </w:tc>
        <w:tc>
          <w:tcPr>
            <w:tcW w:w="1363" w:type="dxa"/>
            <w:vAlign w:val="center"/>
          </w:tcPr>
          <w:p w14:paraId="1C6BB25A" w14:textId="77777777" w:rsidR="00D87C14" w:rsidRDefault="00D87C14" w:rsidP="0017605D">
            <w:pPr>
              <w:jc w:val="center"/>
            </w:pPr>
            <w:r>
              <w:t>0,00</w:t>
            </w:r>
          </w:p>
        </w:tc>
        <w:tc>
          <w:tcPr>
            <w:tcW w:w="1440" w:type="dxa"/>
            <w:vAlign w:val="center"/>
          </w:tcPr>
          <w:p w14:paraId="6AA5F96A" w14:textId="77777777" w:rsidR="00D87C14" w:rsidRDefault="00D87C14" w:rsidP="0017605D">
            <w:pPr>
              <w:jc w:val="center"/>
            </w:pPr>
            <w:r>
              <w:t>0,00</w:t>
            </w:r>
          </w:p>
        </w:tc>
        <w:tc>
          <w:tcPr>
            <w:tcW w:w="1447" w:type="dxa"/>
            <w:vAlign w:val="center"/>
          </w:tcPr>
          <w:p w14:paraId="7C5E45B9" w14:textId="77777777" w:rsidR="00D87C14" w:rsidRDefault="00D87C14" w:rsidP="0017605D">
            <w:pPr>
              <w:jc w:val="center"/>
            </w:pPr>
            <w:r>
              <w:t>1.990,84</w:t>
            </w:r>
          </w:p>
        </w:tc>
        <w:tc>
          <w:tcPr>
            <w:tcW w:w="1493" w:type="dxa"/>
            <w:vAlign w:val="center"/>
          </w:tcPr>
          <w:p w14:paraId="47A5D1D4" w14:textId="77777777" w:rsidR="00D87C14" w:rsidRDefault="00D87C14" w:rsidP="0017605D">
            <w:pPr>
              <w:jc w:val="center"/>
            </w:pPr>
            <w:r>
              <w:t>2.000,00</w:t>
            </w:r>
          </w:p>
        </w:tc>
        <w:tc>
          <w:tcPr>
            <w:tcW w:w="1363" w:type="dxa"/>
            <w:vAlign w:val="center"/>
          </w:tcPr>
          <w:p w14:paraId="3F6F832A" w14:textId="033C8D9A" w:rsidR="00D87C14" w:rsidRDefault="00D87C14" w:rsidP="0017605D">
            <w:pPr>
              <w:jc w:val="center"/>
            </w:pPr>
            <w:r>
              <w:t>250,00</w:t>
            </w:r>
          </w:p>
        </w:tc>
      </w:tr>
      <w:tr w:rsidR="00D87C14" w14:paraId="0B3D609C" w14:textId="77777777" w:rsidTr="0017605D">
        <w:trPr>
          <w:jc w:val="center"/>
        </w:trPr>
        <w:tc>
          <w:tcPr>
            <w:tcW w:w="1957" w:type="dxa"/>
            <w:vAlign w:val="center"/>
          </w:tcPr>
          <w:p w14:paraId="26270F82" w14:textId="77777777" w:rsidR="00D87C14" w:rsidRDefault="00D87C14" w:rsidP="0017605D">
            <w:pPr>
              <w:jc w:val="center"/>
            </w:pPr>
            <w:r>
              <w:t>Javna odgovornost</w:t>
            </w:r>
          </w:p>
        </w:tc>
        <w:tc>
          <w:tcPr>
            <w:tcW w:w="1363" w:type="dxa"/>
            <w:vAlign w:val="center"/>
          </w:tcPr>
          <w:p w14:paraId="438AB75B" w14:textId="77777777" w:rsidR="00D87C14" w:rsidRDefault="00D87C14" w:rsidP="0017605D">
            <w:pPr>
              <w:jc w:val="center"/>
            </w:pPr>
            <w:r>
              <w:t>0,00</w:t>
            </w:r>
          </w:p>
        </w:tc>
        <w:tc>
          <w:tcPr>
            <w:tcW w:w="1440" w:type="dxa"/>
            <w:vAlign w:val="center"/>
          </w:tcPr>
          <w:p w14:paraId="3BA902B0" w14:textId="77777777" w:rsidR="00D87C14" w:rsidRDefault="00D87C14" w:rsidP="0017605D">
            <w:pPr>
              <w:jc w:val="center"/>
            </w:pPr>
            <w:r>
              <w:t>1.990,84</w:t>
            </w:r>
          </w:p>
        </w:tc>
        <w:tc>
          <w:tcPr>
            <w:tcW w:w="1447" w:type="dxa"/>
            <w:vAlign w:val="center"/>
          </w:tcPr>
          <w:p w14:paraId="5DD8F19A" w14:textId="77777777" w:rsidR="00D87C14" w:rsidRDefault="00D87C14" w:rsidP="0017605D">
            <w:pPr>
              <w:jc w:val="center"/>
            </w:pPr>
            <w:r>
              <w:t>3.318,07</w:t>
            </w:r>
          </w:p>
        </w:tc>
        <w:tc>
          <w:tcPr>
            <w:tcW w:w="1493" w:type="dxa"/>
            <w:vAlign w:val="center"/>
          </w:tcPr>
          <w:p w14:paraId="66B98EB7" w14:textId="77777777" w:rsidR="00D87C14" w:rsidRDefault="00D87C14" w:rsidP="0017605D">
            <w:pPr>
              <w:jc w:val="center"/>
            </w:pPr>
            <w:r>
              <w:t>0,00</w:t>
            </w:r>
          </w:p>
        </w:tc>
        <w:tc>
          <w:tcPr>
            <w:tcW w:w="1363" w:type="dxa"/>
            <w:vAlign w:val="center"/>
          </w:tcPr>
          <w:p w14:paraId="77A4E04A" w14:textId="672466F6" w:rsidR="00D87C14" w:rsidRDefault="00D87C14" w:rsidP="0017605D">
            <w:pPr>
              <w:jc w:val="center"/>
            </w:pPr>
            <w:r>
              <w:t>0,00</w:t>
            </w:r>
          </w:p>
        </w:tc>
      </w:tr>
      <w:tr w:rsidR="00D87C14" w14:paraId="5370D76F" w14:textId="77777777" w:rsidTr="0017605D">
        <w:trPr>
          <w:jc w:val="center"/>
        </w:trPr>
        <w:tc>
          <w:tcPr>
            <w:tcW w:w="1957" w:type="dxa"/>
            <w:vAlign w:val="center"/>
          </w:tcPr>
          <w:p w14:paraId="4CAFFF89" w14:textId="77777777" w:rsidR="00D87C14" w:rsidRDefault="00D87C14" w:rsidP="0017605D">
            <w:pPr>
              <w:jc w:val="center"/>
            </w:pPr>
            <w:r>
              <w:t>Putno osiguranje</w:t>
            </w:r>
          </w:p>
        </w:tc>
        <w:tc>
          <w:tcPr>
            <w:tcW w:w="1363" w:type="dxa"/>
            <w:vAlign w:val="center"/>
          </w:tcPr>
          <w:p w14:paraId="16EB13D2" w14:textId="77777777" w:rsidR="00D87C14" w:rsidRDefault="00D87C14" w:rsidP="0017605D">
            <w:pPr>
              <w:jc w:val="center"/>
            </w:pPr>
            <w:r>
              <w:t>0,00</w:t>
            </w:r>
          </w:p>
        </w:tc>
        <w:tc>
          <w:tcPr>
            <w:tcW w:w="1440" w:type="dxa"/>
            <w:vAlign w:val="center"/>
          </w:tcPr>
          <w:p w14:paraId="53642C17" w14:textId="77777777" w:rsidR="00D87C14" w:rsidRDefault="00D87C14" w:rsidP="0017605D">
            <w:pPr>
              <w:jc w:val="center"/>
            </w:pPr>
            <w:r>
              <w:t>0,00</w:t>
            </w:r>
          </w:p>
        </w:tc>
        <w:tc>
          <w:tcPr>
            <w:tcW w:w="1447" w:type="dxa"/>
            <w:vAlign w:val="center"/>
          </w:tcPr>
          <w:p w14:paraId="44FC4F2A" w14:textId="77777777" w:rsidR="00D87C14" w:rsidRDefault="00D87C14" w:rsidP="0017605D">
            <w:pPr>
              <w:jc w:val="center"/>
            </w:pPr>
            <w:r>
              <w:t>0,00</w:t>
            </w:r>
          </w:p>
        </w:tc>
        <w:tc>
          <w:tcPr>
            <w:tcW w:w="1493" w:type="dxa"/>
            <w:vAlign w:val="center"/>
          </w:tcPr>
          <w:p w14:paraId="1E75CBD0" w14:textId="77777777" w:rsidR="00D87C14" w:rsidRDefault="00D87C14" w:rsidP="0017605D">
            <w:pPr>
              <w:jc w:val="center"/>
            </w:pPr>
            <w:r>
              <w:t>0,00</w:t>
            </w:r>
          </w:p>
        </w:tc>
        <w:tc>
          <w:tcPr>
            <w:tcW w:w="1363" w:type="dxa"/>
            <w:vAlign w:val="center"/>
          </w:tcPr>
          <w:p w14:paraId="28189DF7" w14:textId="11E6F042" w:rsidR="00D87C14" w:rsidRDefault="00D87C14" w:rsidP="0017605D">
            <w:pPr>
              <w:jc w:val="center"/>
            </w:pPr>
            <w:r>
              <w:t>0,00</w:t>
            </w:r>
          </w:p>
        </w:tc>
      </w:tr>
      <w:tr w:rsidR="00D87C14" w14:paraId="68421CCE" w14:textId="77777777" w:rsidTr="0017605D">
        <w:trPr>
          <w:jc w:val="center"/>
        </w:trPr>
        <w:tc>
          <w:tcPr>
            <w:tcW w:w="1957" w:type="dxa"/>
            <w:shd w:val="clear" w:color="auto" w:fill="BFBFBF" w:themeFill="background1" w:themeFillShade="BF"/>
            <w:vAlign w:val="center"/>
          </w:tcPr>
          <w:p w14:paraId="2B059AD6" w14:textId="77777777" w:rsidR="00D87C14" w:rsidRDefault="00D87C14" w:rsidP="0017605D">
            <w:pPr>
              <w:jc w:val="center"/>
            </w:pPr>
            <w:r>
              <w:t>Ukupno</w:t>
            </w:r>
          </w:p>
        </w:tc>
        <w:tc>
          <w:tcPr>
            <w:tcW w:w="1363" w:type="dxa"/>
            <w:shd w:val="clear" w:color="auto" w:fill="BFBFBF" w:themeFill="background1" w:themeFillShade="BF"/>
            <w:vAlign w:val="center"/>
          </w:tcPr>
          <w:p w14:paraId="1111D199" w14:textId="77777777" w:rsidR="00D87C14" w:rsidRDefault="00D87C14" w:rsidP="0017605D">
            <w:pPr>
              <w:jc w:val="center"/>
            </w:pPr>
            <w:r>
              <w:t>7.963,37</w:t>
            </w:r>
          </w:p>
        </w:tc>
        <w:tc>
          <w:tcPr>
            <w:tcW w:w="1440" w:type="dxa"/>
            <w:shd w:val="clear" w:color="auto" w:fill="BFBFBF" w:themeFill="background1" w:themeFillShade="BF"/>
            <w:vAlign w:val="center"/>
          </w:tcPr>
          <w:p w14:paraId="73A2837D" w14:textId="77777777" w:rsidR="00D87C14" w:rsidRDefault="00D87C14" w:rsidP="0017605D">
            <w:pPr>
              <w:jc w:val="center"/>
            </w:pPr>
            <w:r>
              <w:t>0,00</w:t>
            </w:r>
          </w:p>
        </w:tc>
        <w:tc>
          <w:tcPr>
            <w:tcW w:w="1447" w:type="dxa"/>
            <w:shd w:val="clear" w:color="auto" w:fill="BFBFBF" w:themeFill="background1" w:themeFillShade="BF"/>
            <w:vAlign w:val="center"/>
          </w:tcPr>
          <w:p w14:paraId="3C9B595B" w14:textId="77777777" w:rsidR="00D87C14" w:rsidRDefault="00D87C14" w:rsidP="0017605D">
            <w:pPr>
              <w:jc w:val="center"/>
            </w:pPr>
            <w:r>
              <w:t>1.990,84</w:t>
            </w:r>
          </w:p>
        </w:tc>
        <w:tc>
          <w:tcPr>
            <w:tcW w:w="1493" w:type="dxa"/>
            <w:shd w:val="clear" w:color="auto" w:fill="BFBFBF" w:themeFill="background1" w:themeFillShade="BF"/>
            <w:vAlign w:val="center"/>
          </w:tcPr>
          <w:p w14:paraId="2EBFD725" w14:textId="77777777" w:rsidR="00D87C14" w:rsidRDefault="00D87C14" w:rsidP="0017605D">
            <w:pPr>
              <w:jc w:val="center"/>
            </w:pPr>
            <w:r>
              <w:t>5.308,91</w:t>
            </w:r>
          </w:p>
        </w:tc>
        <w:tc>
          <w:tcPr>
            <w:tcW w:w="1363" w:type="dxa"/>
            <w:shd w:val="clear" w:color="auto" w:fill="BFBFBF" w:themeFill="background1" w:themeFillShade="BF"/>
            <w:vAlign w:val="center"/>
          </w:tcPr>
          <w:p w14:paraId="10AD6D2D" w14:textId="7B24C000" w:rsidR="00D87C14" w:rsidRDefault="00D87C14" w:rsidP="0017605D">
            <w:pPr>
              <w:jc w:val="center"/>
            </w:pPr>
            <w:r>
              <w:t>250,00</w:t>
            </w:r>
          </w:p>
        </w:tc>
      </w:tr>
    </w:tbl>
    <w:p w14:paraId="7F9E1638" w14:textId="77777777" w:rsidR="00D87C14" w:rsidRDefault="00D87C14" w:rsidP="00D87C14"/>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5A483E4A" w:rsidR="004F51A4" w:rsidRDefault="00D87C14" w:rsidP="00CF5ADC">
      <w:r w:rsidRPr="00BC29C4">
        <w:t xml:space="preserve">Prostori </w:t>
      </w:r>
      <w:r w:rsidR="00BE3322">
        <w:t>osiguratelja</w:t>
      </w:r>
      <w:r w:rsidRPr="00BC29C4">
        <w:t>, prostori Naručitelja i 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1E9DFA94" w:rsidR="00C64053" w:rsidRDefault="00C64053" w:rsidP="00C64053">
      <w:pPr>
        <w:tabs>
          <w:tab w:val="left" w:pos="0"/>
        </w:tabs>
        <w:jc w:val="both"/>
        <w:rPr>
          <w:color w:val="000000"/>
        </w:rPr>
      </w:pPr>
      <w:r>
        <w:rPr>
          <w:color w:val="000000"/>
        </w:rPr>
        <w:t xml:space="preserve">Temeljem provedenog postupka sklopit će se ugovor o nabavi </w:t>
      </w:r>
      <w:r w:rsidR="00D87C14">
        <w:rPr>
          <w:color w:val="000000"/>
        </w:rPr>
        <w:t>usluga, odnosno polica/e osiguranja</w:t>
      </w:r>
      <w:r>
        <w:rPr>
          <w:color w:val="000000"/>
        </w:rPr>
        <w:t>.</w:t>
      </w:r>
    </w:p>
    <w:p w14:paraId="6DB41EF5" w14:textId="77777777" w:rsidR="00C64053" w:rsidRDefault="00C64053" w:rsidP="00C64053">
      <w:pPr>
        <w:tabs>
          <w:tab w:val="left" w:pos="0"/>
        </w:tabs>
        <w:jc w:val="both"/>
        <w:rPr>
          <w:color w:val="000000"/>
        </w:rPr>
      </w:pPr>
    </w:p>
    <w:p w14:paraId="321486CE" w14:textId="1704B7CE" w:rsidR="00C64053" w:rsidRPr="00826B5B" w:rsidRDefault="00C64053" w:rsidP="00C64053">
      <w:pPr>
        <w:tabs>
          <w:tab w:val="left" w:pos="0"/>
        </w:tabs>
        <w:jc w:val="both"/>
        <w:rPr>
          <w:color w:val="FF0000"/>
        </w:rPr>
      </w:pPr>
      <w:r w:rsidRPr="00826B5B">
        <w:rPr>
          <w:color w:val="000000"/>
        </w:rPr>
        <w:t xml:space="preserve">Ugovor se sklapa na razdoblje </w:t>
      </w:r>
      <w:r w:rsidR="00D87C14">
        <w:rPr>
          <w:color w:val="000000"/>
        </w:rPr>
        <w:t>od 9. ožujka 2024. do 9. ožujka 2025</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CA23112" w14:textId="6A2FF18E" w:rsidR="00D87C14" w:rsidRPr="00E85D4D" w:rsidRDefault="00D87C14" w:rsidP="00D87C14">
      <w:pPr>
        <w:tabs>
          <w:tab w:val="left" w:pos="0"/>
        </w:tabs>
        <w:jc w:val="both"/>
        <w:rPr>
          <w:bCs/>
          <w:color w:val="000000"/>
        </w:rPr>
      </w:pPr>
      <w:r>
        <w:rPr>
          <w:bCs/>
          <w:color w:val="000000"/>
        </w:rPr>
        <w:t xml:space="preserve">Osiguratelj će račune za premiju osiguranja ispostavljati kvartalno, na način da će u </w:t>
      </w:r>
      <w:r w:rsidR="00BE3322">
        <w:rPr>
          <w:bCs/>
          <w:color w:val="000000"/>
        </w:rPr>
        <w:t>2024</w:t>
      </w:r>
      <w:r>
        <w:rPr>
          <w:bCs/>
          <w:color w:val="000000"/>
        </w:rPr>
        <w:t xml:space="preserve">. godini ispostaviti tri računa, dok će u </w:t>
      </w:r>
      <w:r w:rsidR="00BE3322">
        <w:rPr>
          <w:bCs/>
          <w:color w:val="000000"/>
        </w:rPr>
        <w:t>2025</w:t>
      </w:r>
      <w:r>
        <w:rPr>
          <w:bCs/>
          <w:color w:val="000000"/>
        </w:rPr>
        <w:t xml:space="preserve">. godini ispostaviti jedan račun. </w:t>
      </w:r>
      <w:r w:rsidRPr="00E85D4D">
        <w:rPr>
          <w:bCs/>
          <w:color w:val="000000"/>
        </w:rPr>
        <w:t xml:space="preserve">Plaćanje će se izvršiti u roku od 30 dana od zaprimanja </w:t>
      </w:r>
      <w:r>
        <w:rPr>
          <w:bCs/>
          <w:color w:val="000000"/>
        </w:rPr>
        <w:t xml:space="preserve">valjanog </w:t>
      </w:r>
      <w:r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5D1A6F46" w14:textId="208A864F" w:rsidR="004F51A4" w:rsidRPr="00826B5B" w:rsidRDefault="004F51A4" w:rsidP="00CF5ADC">
      <w:pPr>
        <w:tabs>
          <w:tab w:val="left" w:pos="0"/>
        </w:tabs>
        <w:jc w:val="both"/>
        <w:rPr>
          <w:b/>
          <w:color w:val="FF0000"/>
        </w:rPr>
      </w:pPr>
      <w:r w:rsidRPr="005B06AF">
        <w:t>45</w:t>
      </w:r>
      <w:r w:rsidRPr="00826B5B">
        <w:t xml:space="preserve"> dana.</w:t>
      </w: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lastRenderedPageBreak/>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0"/>
    <w:bookmarkEnd w:id="2"/>
    <w:p w14:paraId="65D4EA9E" w14:textId="77777777" w:rsidR="00C64053" w:rsidRPr="00BE3322" w:rsidRDefault="00C64053" w:rsidP="00C64053">
      <w:pPr>
        <w:pStyle w:val="ListParagraph"/>
        <w:numPr>
          <w:ilvl w:val="1"/>
          <w:numId w:val="27"/>
        </w:numPr>
        <w:tabs>
          <w:tab w:val="left" w:pos="0"/>
        </w:tabs>
        <w:jc w:val="both"/>
        <w:rPr>
          <w:b/>
          <w:bCs/>
          <w:sz w:val="24"/>
          <w:szCs w:val="24"/>
        </w:rPr>
      </w:pPr>
      <w:r w:rsidRPr="00BE3322">
        <w:rPr>
          <w:b/>
          <w:bCs/>
          <w:sz w:val="24"/>
          <w:szCs w:val="24"/>
        </w:rPr>
        <w:t>Popunjeni, potpisani i pečatom ovjereni Troškovnik</w:t>
      </w:r>
    </w:p>
    <w:p w14:paraId="34399D2B" w14:textId="77777777" w:rsidR="00C64053" w:rsidRPr="00BE3322" w:rsidRDefault="00C64053" w:rsidP="00C64053">
      <w:pPr>
        <w:tabs>
          <w:tab w:val="left" w:pos="0"/>
        </w:tabs>
        <w:jc w:val="both"/>
      </w:pPr>
      <w:r w:rsidRPr="00BE3322">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 xml:space="preserve">se označavaju brojem na način da je vidljiv redni broj stranice i ukupan broj stranica ponude. Ako je ponuda izrađena od više dijelova, stranice se označavaju na način da svaki sljedeći dio ponude započinje rednim brojem koji se nastavlja na redni broj stranice kojim </w:t>
      </w:r>
      <w:r w:rsidRPr="00CF5ADC">
        <w:lastRenderedPageBreak/>
        <w:t>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6AB47598" w14:textId="77777777" w:rsidR="0002404A" w:rsidRDefault="0013210C" w:rsidP="005B1B4C">
            <w:pPr>
              <w:jc w:val="center"/>
              <w:rPr>
                <w:b/>
              </w:rPr>
            </w:pPr>
            <w:r w:rsidRPr="00BC29C4">
              <w:rPr>
                <w:b/>
                <w:bCs/>
                <w:color w:val="000000"/>
              </w:rPr>
              <w:t xml:space="preserve">Predmet nabave: </w:t>
            </w:r>
            <w:r w:rsidR="0002404A" w:rsidRPr="0002404A">
              <w:rPr>
                <w:b/>
              </w:rPr>
              <w:t>Osiguranje imovine, djelatnika i javne odgovornosti</w:t>
            </w:r>
          </w:p>
          <w:p w14:paraId="3E1E4639" w14:textId="70C9043C" w:rsidR="0013210C" w:rsidRPr="00BC29C4" w:rsidRDefault="0002404A" w:rsidP="005B1B4C">
            <w:pPr>
              <w:jc w:val="center"/>
              <w:rPr>
                <w:b/>
                <w:bCs/>
                <w:color w:val="000000"/>
              </w:rPr>
            </w:pPr>
            <w:r w:rsidRPr="0002404A">
              <w:rPr>
                <w:b/>
              </w:rPr>
              <w:t>u 2024. i 2025. godini</w:t>
            </w:r>
          </w:p>
          <w:p w14:paraId="2A78CFDA" w14:textId="5CF953B6" w:rsidR="0013210C" w:rsidRPr="00BC29C4" w:rsidRDefault="0013210C" w:rsidP="005B1B4C">
            <w:pPr>
              <w:jc w:val="center"/>
              <w:rPr>
                <w:b/>
                <w:bCs/>
                <w:color w:val="000000"/>
              </w:rPr>
            </w:pPr>
            <w:proofErr w:type="spellStart"/>
            <w:r w:rsidRPr="00BC29C4">
              <w:rPr>
                <w:b/>
                <w:bCs/>
                <w:color w:val="000000"/>
              </w:rPr>
              <w:t>Ev</w:t>
            </w:r>
            <w:proofErr w:type="spellEnd"/>
            <w:r w:rsidRPr="00BC29C4">
              <w:rPr>
                <w:b/>
                <w:bCs/>
                <w:color w:val="000000"/>
              </w:rPr>
              <w:t xml:space="preserve">. br. nabave: </w:t>
            </w:r>
            <w:r w:rsidR="0002404A">
              <w:rPr>
                <w:b/>
                <w:bCs/>
                <w:color w:val="000000"/>
              </w:rPr>
              <w:t>20/24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Default="00E76EE6" w:rsidP="00CF5ADC">
      <w:pPr>
        <w:jc w:val="both"/>
        <w:rPr>
          <w:color w:val="000000"/>
        </w:rPr>
      </w:pPr>
    </w:p>
    <w:p w14:paraId="666F6262" w14:textId="77777777" w:rsidR="00BE3322" w:rsidRPr="00826B5B" w:rsidRDefault="00BE3322"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lastRenderedPageBreak/>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18D680B5" w:rsidR="0008372D" w:rsidRDefault="00AA3498" w:rsidP="00CF5ADC">
      <w:pPr>
        <w:jc w:val="both"/>
        <w:rPr>
          <w:color w:val="000000"/>
        </w:rPr>
      </w:pPr>
      <w:r w:rsidRPr="00826B5B">
        <w:rPr>
          <w:color w:val="000000"/>
        </w:rPr>
        <w:t xml:space="preserve">Kriterij odabira ponude je </w:t>
      </w:r>
      <w:r w:rsidR="00C64053" w:rsidRPr="00BE3322">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16E084BE" w:rsidR="00AA3498" w:rsidRPr="0008372D" w:rsidRDefault="00BE3322" w:rsidP="00AA3498">
      <w:pPr>
        <w:jc w:val="both"/>
        <w:rPr>
          <w:b/>
          <w:u w:val="single"/>
        </w:rPr>
      </w:pPr>
      <w:r>
        <w:rPr>
          <w:b/>
          <w:u w:val="single"/>
        </w:rPr>
        <w:t>1. ožujka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5C52E86F" w:rsidR="00BD2986" w:rsidRPr="00826B5B" w:rsidRDefault="0008372D" w:rsidP="00CF5ADC">
      <w:pPr>
        <w:jc w:val="both"/>
      </w:pPr>
      <w:r>
        <w:t>O</w:t>
      </w:r>
      <w:r w:rsidR="00D36AC0" w:rsidRPr="00826B5B">
        <w:t>tvaranje ponuda održat će se</w:t>
      </w:r>
      <w:r w:rsidR="00AA3498">
        <w:t xml:space="preserve"> </w:t>
      </w:r>
      <w:r w:rsidR="00BE3322" w:rsidRPr="00BE3322">
        <w:t xml:space="preserve">1. ožujka </w:t>
      </w:r>
      <w:r w:rsidR="00E0122A">
        <w:t>2024</w:t>
      </w:r>
      <w:r w:rsidR="00AA53C0">
        <w:t>.</w:t>
      </w:r>
      <w:r w:rsidR="00AA3498">
        <w:t xml:space="preserve"> </w:t>
      </w:r>
      <w:r w:rsidR="00D36AC0" w:rsidRPr="00826B5B">
        <w:t xml:space="preserve">u </w:t>
      </w:r>
      <w:r w:rsidR="00BE3322">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73ABD1A6"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lastRenderedPageBreak/>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2E5D0852" w:rsidR="00AA3498" w:rsidRPr="00BE3322" w:rsidRDefault="007351A8" w:rsidP="00BE3322">
      <w:pPr>
        <w:pStyle w:val="ListParagraph"/>
        <w:numPr>
          <w:ilvl w:val="0"/>
          <w:numId w:val="34"/>
        </w:numPr>
        <w:rPr>
          <w:sz w:val="24"/>
          <w:szCs w:val="24"/>
        </w:rPr>
      </w:pPr>
      <w:r w:rsidRPr="00BE3322">
        <w:rPr>
          <w:sz w:val="24"/>
          <w:szCs w:val="24"/>
        </w:rPr>
        <w:t xml:space="preserve">Obrazac </w:t>
      </w:r>
      <w:r w:rsidR="003C4B5D" w:rsidRPr="00BE3322">
        <w:rPr>
          <w:sz w:val="24"/>
          <w:szCs w:val="24"/>
        </w:rPr>
        <w:t>Troškovnik</w:t>
      </w:r>
      <w:r w:rsidRPr="00BE3322">
        <w:rPr>
          <w:sz w:val="24"/>
          <w:szCs w:val="24"/>
        </w:rPr>
        <w:t>a</w:t>
      </w:r>
      <w:r w:rsidR="00BE3322">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50D4314B"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Pr="00F7278C">
        <w:rPr>
          <w:b/>
          <w:bCs/>
        </w:rPr>
        <w:t>.</w:t>
      </w:r>
      <w:r w:rsidR="002E439D" w:rsidRPr="00BE3322">
        <w:rPr>
          <w:b/>
          <w:bCs/>
        </w:rPr>
        <w:t>, v.r.</w:t>
      </w:r>
    </w:p>
    <w:sectPr w:rsidR="00E7343C" w:rsidRPr="004F51A4" w:rsidSect="003F098C">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BE37" w14:textId="77777777" w:rsidR="003F098C" w:rsidRDefault="003F098C">
      <w:r>
        <w:separator/>
      </w:r>
    </w:p>
  </w:endnote>
  <w:endnote w:type="continuationSeparator" w:id="0">
    <w:p w14:paraId="7E35DF6E" w14:textId="77777777" w:rsidR="003F098C" w:rsidRDefault="003F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listo MT"/>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A4C2" w14:textId="77777777" w:rsidR="003F098C" w:rsidRDefault="003F098C">
      <w:r>
        <w:separator/>
      </w:r>
    </w:p>
  </w:footnote>
  <w:footnote w:type="continuationSeparator" w:id="0">
    <w:p w14:paraId="3E4D9D73" w14:textId="77777777" w:rsidR="003F098C" w:rsidRDefault="003F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55BF4"/>
    <w:multiLevelType w:val="hybridMultilevel"/>
    <w:tmpl w:val="EF2617D2"/>
    <w:lvl w:ilvl="0" w:tplc="E5D2572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3"/>
  </w:num>
  <w:num w:numId="4" w16cid:durableId="1751928911">
    <w:abstractNumId w:val="11"/>
  </w:num>
  <w:num w:numId="5" w16cid:durableId="507794848">
    <w:abstractNumId w:val="35"/>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43459795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2404A"/>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3A9E"/>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098C"/>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1682"/>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322"/>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87C14"/>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13894</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2024-02-22T09:03:00Z</cp:lastPrinted>
  <dcterms:created xsi:type="dcterms:W3CDTF">2024-02-22T09:05:00Z</dcterms:created>
  <dcterms:modified xsi:type="dcterms:W3CDTF">2024-02-22T09:05:00Z</dcterms:modified>
</cp:coreProperties>
</file>