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32052B6E"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B01643">
        <w:t>103</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0CAA9DB6" w:rsidR="00F70FFE" w:rsidRPr="00826B5B" w:rsidRDefault="00FE0C1B" w:rsidP="00CF5ADC">
      <w:r>
        <w:t>Omišalj</w:t>
      </w:r>
      <w:r w:rsidR="00E54028">
        <w:t xml:space="preserve">, </w:t>
      </w:r>
      <w:r w:rsidR="00B01643">
        <w:t>16. kolovoza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60F40617" w:rsidR="00152942" w:rsidRDefault="00152942" w:rsidP="00CF5ADC">
            <w:pPr>
              <w:pStyle w:val="Header"/>
              <w:jc w:val="center"/>
              <w:rPr>
                <w:b/>
                <w:sz w:val="24"/>
                <w:szCs w:val="24"/>
              </w:rPr>
            </w:pPr>
            <w:r>
              <w:rPr>
                <w:b/>
                <w:sz w:val="24"/>
                <w:szCs w:val="24"/>
              </w:rPr>
              <w:t xml:space="preserve">Predmet nabave: </w:t>
            </w:r>
            <w:r w:rsidR="00B01643" w:rsidRPr="00B01643">
              <w:rPr>
                <w:bCs/>
                <w:sz w:val="24"/>
                <w:szCs w:val="24"/>
              </w:rPr>
              <w:t>Radovi na modernizaciji javne rasvjete LED tehnologijom - II. faza</w:t>
            </w:r>
          </w:p>
          <w:p w14:paraId="2EB3DCCF" w14:textId="450FA940" w:rsidR="009020B0" w:rsidRDefault="00152942" w:rsidP="00CF5ADC">
            <w:pPr>
              <w:pStyle w:val="Header"/>
              <w:jc w:val="center"/>
              <w:rPr>
                <w:b/>
                <w:sz w:val="24"/>
                <w:szCs w:val="24"/>
              </w:rPr>
            </w:pPr>
            <w:r>
              <w:rPr>
                <w:b/>
                <w:sz w:val="24"/>
                <w:szCs w:val="24"/>
              </w:rPr>
              <w:t xml:space="preserve">Evidencijski broj nabave: </w:t>
            </w:r>
            <w:r w:rsidR="00B01643">
              <w:rPr>
                <w:bCs/>
                <w:sz w:val="24"/>
                <w:szCs w:val="24"/>
              </w:rPr>
              <w:t>40/24</w:t>
            </w:r>
          </w:p>
          <w:p w14:paraId="13774AE0" w14:textId="5AECB94E" w:rsidR="00152942" w:rsidRPr="00826B5B" w:rsidRDefault="00152942" w:rsidP="00CF5ADC">
            <w:pPr>
              <w:pStyle w:val="Header"/>
              <w:jc w:val="center"/>
              <w:rPr>
                <w:b/>
                <w:sz w:val="24"/>
                <w:szCs w:val="24"/>
              </w:rPr>
            </w:pPr>
            <w:r>
              <w:rPr>
                <w:b/>
                <w:sz w:val="24"/>
                <w:szCs w:val="24"/>
              </w:rPr>
              <w:t xml:space="preserve">CPV oznaka: </w:t>
            </w:r>
            <w:r w:rsidR="00B01643" w:rsidRPr="00B01643">
              <w:rPr>
                <w:bCs/>
                <w:sz w:val="24"/>
                <w:szCs w:val="24"/>
              </w:rPr>
              <w:t>45316000 - Radovi na instalaciji rasvjetnih i signalnih sustava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9"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10"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1"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31760870" w14:textId="77777777" w:rsidR="00B01643" w:rsidRDefault="00B01643" w:rsidP="00B01643">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u daljnjem tekstu: ZJN 2016</w:t>
      </w:r>
      <w:r w:rsidRPr="00826B5B">
        <w:t>)</w:t>
      </w:r>
      <w:r>
        <w:t xml:space="preserve">, </w:t>
      </w:r>
      <w:r>
        <w:rPr>
          <w:rStyle w:val="NoneA"/>
          <w:rFonts w:cs="Times New Roman"/>
          <w:color w:val="000000" w:themeColor="text1"/>
        </w:rPr>
        <w:t>Naručitelj je u sukobu interesa sa sljedećim gospodarskim subjektima:</w:t>
      </w:r>
    </w:p>
    <w:p w14:paraId="22B3B11B" w14:textId="3890EE99" w:rsidR="001E4F83" w:rsidRPr="00B01643" w:rsidRDefault="00B01643" w:rsidP="00CF5ADC">
      <w:pPr>
        <w:pStyle w:val="BodyA"/>
        <w:numPr>
          <w:ilvl w:val="0"/>
          <w:numId w:val="38"/>
        </w:numPr>
        <w:jc w:val="both"/>
        <w:rPr>
          <w:rFonts w:cs="Times New Roman"/>
          <w:color w:val="000000" w:themeColor="text1"/>
        </w:rPr>
      </w:pPr>
      <w:r w:rsidRPr="002558F6">
        <w:rPr>
          <w:rStyle w:val="NoneA"/>
          <w:rFonts w:cs="Times New Roman"/>
          <w:color w:val="000000" w:themeColor="text1"/>
        </w:rPr>
        <w:t xml:space="preserve">NEO </w:t>
      </w:r>
      <w:proofErr w:type="spellStart"/>
      <w:r w:rsidRPr="002558F6">
        <w:rPr>
          <w:rStyle w:val="NoneA"/>
          <w:rFonts w:cs="Times New Roman"/>
          <w:color w:val="000000" w:themeColor="text1"/>
        </w:rPr>
        <w:t>Events</w:t>
      </w:r>
      <w:proofErr w:type="spellEnd"/>
      <w:r w:rsidRPr="002558F6">
        <w:rPr>
          <w:rStyle w:val="NoneA"/>
          <w:rFonts w:cs="Times New Roman"/>
          <w:color w:val="000000" w:themeColor="text1"/>
        </w:rPr>
        <w:t xml:space="preserve">, obrt za usluge, </w:t>
      </w:r>
      <w:proofErr w:type="spellStart"/>
      <w:r w:rsidRPr="002558F6">
        <w:rPr>
          <w:rStyle w:val="NoneA"/>
          <w:rFonts w:cs="Times New Roman"/>
          <w:color w:val="000000" w:themeColor="text1"/>
        </w:rPr>
        <w:t>vl</w:t>
      </w:r>
      <w:proofErr w:type="spellEnd"/>
      <w:r w:rsidRPr="002558F6">
        <w:rPr>
          <w:rStyle w:val="NoneA"/>
          <w:rFonts w:cs="Times New Roman"/>
          <w:color w:val="000000" w:themeColor="text1"/>
        </w:rPr>
        <w:t xml:space="preserve">. Nina Kovač, Omišalj, Mali </w:t>
      </w:r>
      <w:proofErr w:type="spellStart"/>
      <w:r w:rsidRPr="002558F6">
        <w:rPr>
          <w:rStyle w:val="NoneA"/>
          <w:rFonts w:cs="Times New Roman"/>
          <w:color w:val="000000" w:themeColor="text1"/>
        </w:rPr>
        <w:t>Kijec</w:t>
      </w:r>
      <w:proofErr w:type="spellEnd"/>
      <w:r w:rsidRPr="002558F6">
        <w:rPr>
          <w:rStyle w:val="NoneA"/>
          <w:rFonts w:cs="Times New Roman"/>
          <w:color w:val="000000" w:themeColor="text1"/>
        </w:rPr>
        <w:t xml:space="preserve"> 37</w:t>
      </w:r>
      <w:r>
        <w:rPr>
          <w:rStyle w:val="NoneA"/>
          <w:rFonts w:cs="Times New Roman"/>
          <w:color w:val="000000" w:themeColor="text1"/>
        </w:rPr>
        <w:t xml:space="preserve">, OIB </w:t>
      </w:r>
      <w:r w:rsidRPr="002558F6">
        <w:rPr>
          <w:rFonts w:cs="Times New Roman"/>
          <w:color w:val="000000" w:themeColor="text1"/>
        </w:rPr>
        <w:t>49171246660</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341642A6" w:rsidR="004F51A4" w:rsidRDefault="00B01643" w:rsidP="00CF5ADC">
      <w:pPr>
        <w:rPr>
          <w:color w:val="000000"/>
        </w:rPr>
      </w:pPr>
      <w:r>
        <w:rPr>
          <w:color w:val="000000"/>
        </w:rPr>
        <w:t>40/24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448355CC" w:rsidR="004F51A4" w:rsidRPr="00C64053" w:rsidRDefault="00B01643" w:rsidP="00CF5ADC">
      <w:r w:rsidRPr="00B01643">
        <w:t xml:space="preserve">65.000,00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21D0222F" w14:textId="70049F0A" w:rsidR="00B01643" w:rsidRPr="00DC3CC0" w:rsidRDefault="00B01643" w:rsidP="00B01643">
      <w:pPr>
        <w:jc w:val="both"/>
      </w:pPr>
      <w:r w:rsidRPr="00DC3CC0">
        <w:t>Izvođenje radova na modernizaciji dijela sustava javne rasvjete u naselju Omišalj. Radovima se predviđa zamjena postojećih rasvjetnih tijela visoko efikasnim LED svjetiljkama, kao i modernizacija električnih instalacija postojećih stupova javne rasvjete.</w:t>
      </w:r>
    </w:p>
    <w:p w14:paraId="48BC2510" w14:textId="77777777" w:rsidR="00B01643" w:rsidRDefault="00B01643" w:rsidP="00B01643">
      <w:pPr>
        <w:tabs>
          <w:tab w:val="left" w:pos="-2160"/>
        </w:tabs>
        <w:jc w:val="both"/>
        <w:rPr>
          <w:color w:val="000000"/>
        </w:rPr>
      </w:pPr>
    </w:p>
    <w:p w14:paraId="0C02A838" w14:textId="77777777" w:rsidR="0009243D" w:rsidRPr="00271FBB" w:rsidRDefault="0009243D" w:rsidP="0009243D">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5CFC35D9" w14:textId="77777777" w:rsidR="0009243D" w:rsidRPr="00271FBB" w:rsidRDefault="0009243D" w:rsidP="0009243D">
      <w:pPr>
        <w:pStyle w:val="ListParagraph"/>
        <w:numPr>
          <w:ilvl w:val="0"/>
          <w:numId w:val="39"/>
        </w:numPr>
        <w:jc w:val="both"/>
        <w:rPr>
          <w:sz w:val="24"/>
          <w:szCs w:val="24"/>
        </w:rPr>
      </w:pPr>
      <w:r w:rsidRPr="00271FBB">
        <w:rPr>
          <w:sz w:val="24"/>
          <w:szCs w:val="24"/>
        </w:rPr>
        <w:t>uvjetima ovog Poziva</w:t>
      </w:r>
    </w:p>
    <w:p w14:paraId="198F0E84" w14:textId="4936DACB" w:rsidR="0009243D" w:rsidRPr="0009243D" w:rsidRDefault="0009243D" w:rsidP="0009243D">
      <w:pPr>
        <w:pStyle w:val="ListParagraph"/>
        <w:numPr>
          <w:ilvl w:val="0"/>
          <w:numId w:val="39"/>
        </w:numPr>
        <w:rPr>
          <w:sz w:val="24"/>
          <w:szCs w:val="24"/>
        </w:rPr>
      </w:pPr>
      <w:r w:rsidRPr="0009243D">
        <w:rPr>
          <w:sz w:val="24"/>
          <w:szCs w:val="24"/>
        </w:rPr>
        <w:t>Troškovniku</w:t>
      </w:r>
    </w:p>
    <w:p w14:paraId="069D4097" w14:textId="69858B7E" w:rsidR="0009243D" w:rsidRDefault="0009243D" w:rsidP="0009243D">
      <w:pPr>
        <w:pStyle w:val="ListParagraph"/>
        <w:numPr>
          <w:ilvl w:val="0"/>
          <w:numId w:val="39"/>
        </w:numPr>
        <w:jc w:val="both"/>
        <w:rPr>
          <w:sz w:val="24"/>
          <w:szCs w:val="24"/>
        </w:rPr>
      </w:pPr>
      <w:r w:rsidRPr="0009243D">
        <w:rPr>
          <w:sz w:val="24"/>
          <w:szCs w:val="24"/>
        </w:rPr>
        <w:t>Tehničkoj specifikaciji ponuđene robe</w:t>
      </w:r>
    </w:p>
    <w:p w14:paraId="4E885798" w14:textId="77777777" w:rsidR="0009243D" w:rsidRDefault="0009243D" w:rsidP="0009243D">
      <w:pPr>
        <w:pStyle w:val="ListParagraph"/>
        <w:numPr>
          <w:ilvl w:val="0"/>
          <w:numId w:val="39"/>
        </w:numPr>
        <w:jc w:val="both"/>
        <w:rPr>
          <w:sz w:val="24"/>
          <w:szCs w:val="24"/>
        </w:rPr>
      </w:pPr>
      <w:r w:rsidRPr="0009243D">
        <w:rPr>
          <w:sz w:val="24"/>
          <w:szCs w:val="24"/>
        </w:rPr>
        <w:t xml:space="preserve">Popisu ulaznih parametara za izradu </w:t>
      </w:r>
      <w:proofErr w:type="spellStart"/>
      <w:r w:rsidRPr="0009243D">
        <w:rPr>
          <w:sz w:val="24"/>
          <w:szCs w:val="24"/>
        </w:rPr>
        <w:t>svjetlotehničkih</w:t>
      </w:r>
      <w:proofErr w:type="spellEnd"/>
      <w:r w:rsidRPr="0009243D">
        <w:rPr>
          <w:sz w:val="24"/>
          <w:szCs w:val="24"/>
        </w:rPr>
        <w:t xml:space="preserve"> proračuna</w:t>
      </w:r>
    </w:p>
    <w:p w14:paraId="395236D7" w14:textId="44C4C2F0" w:rsidR="0009243D" w:rsidRDefault="0009243D" w:rsidP="0009243D">
      <w:pPr>
        <w:pStyle w:val="ListParagraph"/>
        <w:numPr>
          <w:ilvl w:val="0"/>
          <w:numId w:val="39"/>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30CB24D1" w14:textId="709C5ABF" w:rsidR="0009243D" w:rsidRPr="00271FBB" w:rsidRDefault="0009243D" w:rsidP="0009243D">
      <w:pPr>
        <w:pStyle w:val="ListParagraph"/>
        <w:numPr>
          <w:ilvl w:val="0"/>
          <w:numId w:val="39"/>
        </w:numPr>
        <w:jc w:val="both"/>
        <w:rPr>
          <w:sz w:val="24"/>
          <w:szCs w:val="24"/>
        </w:rPr>
      </w:pPr>
      <w:r w:rsidRPr="00271FBB">
        <w:rPr>
          <w:sz w:val="24"/>
          <w:szCs w:val="24"/>
        </w:rPr>
        <w:t>važećim normativima, standardima i pravilima struke.</w:t>
      </w:r>
    </w:p>
    <w:p w14:paraId="2BCDAA15" w14:textId="77777777" w:rsidR="0009243D" w:rsidRPr="00DC3CC0" w:rsidRDefault="0009243D" w:rsidP="00B01643">
      <w:pPr>
        <w:tabs>
          <w:tab w:val="left" w:pos="-2160"/>
        </w:tabs>
        <w:jc w:val="both"/>
        <w:rPr>
          <w:color w:val="000000"/>
        </w:rPr>
      </w:pPr>
    </w:p>
    <w:p w14:paraId="20FFCA4E" w14:textId="12B67322" w:rsidR="0009243D" w:rsidRDefault="0009243D" w:rsidP="0009243D">
      <w:pPr>
        <w:jc w:val="both"/>
      </w:pPr>
      <w:r>
        <w:t>Dokumentacija iz alineja 2. - 4. predstavlja priloge 2. - 4. ovog Poziva te čini njegov sastavni dio.</w:t>
      </w:r>
    </w:p>
    <w:p w14:paraId="679DBEF8" w14:textId="77777777" w:rsidR="0009243D" w:rsidRDefault="0009243D" w:rsidP="00B01643">
      <w:pPr>
        <w:jc w:val="both"/>
      </w:pPr>
    </w:p>
    <w:p w14:paraId="0D357710" w14:textId="35A283C8" w:rsidR="0009243D" w:rsidRDefault="00B01643" w:rsidP="0009243D">
      <w:pPr>
        <w:jc w:val="both"/>
        <w:rPr>
          <w:bCs/>
        </w:rPr>
      </w:pPr>
      <w:r w:rsidRPr="00DC3CC0">
        <w:t xml:space="preserve">Oprema koja se ugrađuje u sklopu </w:t>
      </w:r>
      <w:r w:rsidR="009E3B69">
        <w:t xml:space="preserve">izvođenja predmetnih </w:t>
      </w:r>
      <w:r w:rsidRPr="00DC3CC0">
        <w:t xml:space="preserve">radova </w:t>
      </w:r>
      <w:r w:rsidRPr="00DC3CC0">
        <w:rPr>
          <w:bCs/>
        </w:rPr>
        <w:t xml:space="preserve">mora biti isporučena nova, tehnički ispravna i bez ikakvih oštećenja. Naručitelj zadržava pravo odbiti preuzimanje opreme koja je </w:t>
      </w:r>
      <w:r w:rsidR="0009243D">
        <w:rPr>
          <w:bCs/>
        </w:rPr>
        <w:t>isporučena tehnički neispravna ili u neprimjerenom stanju.</w:t>
      </w:r>
    </w:p>
    <w:p w14:paraId="12D19370" w14:textId="77777777" w:rsidR="00B01643" w:rsidRPr="00DC3CC0" w:rsidRDefault="00B01643" w:rsidP="00B01643">
      <w:pPr>
        <w:jc w:val="both"/>
      </w:pPr>
    </w:p>
    <w:p w14:paraId="0D11E0EB" w14:textId="243376FB" w:rsidR="00B01643" w:rsidRPr="00DC3CC0" w:rsidRDefault="00B01643" w:rsidP="00B01643">
      <w:pPr>
        <w:tabs>
          <w:tab w:val="left" w:pos="-2160"/>
        </w:tabs>
        <w:jc w:val="both"/>
        <w:rPr>
          <w:color w:val="000000"/>
        </w:rPr>
      </w:pPr>
      <w:r w:rsidRPr="00DC3CC0">
        <w:rPr>
          <w:color w:val="000000"/>
        </w:rPr>
        <w:t xml:space="preserve">Ponuditelji su dužni u jedinične cijene iz ponudbenog Troškovnika uključiti sve troškove neophodne </w:t>
      </w:r>
      <w:r w:rsidRPr="00DC3CC0">
        <w:rPr>
          <w:bCs/>
        </w:rPr>
        <w:t xml:space="preserve">za realizaciju predmeta nabave, poput troškova rada, prijevoza, materijala, montaže, demontaže, </w:t>
      </w:r>
      <w:r w:rsidRPr="00DC3CC0">
        <w:rPr>
          <w:color w:val="000000"/>
        </w:rPr>
        <w:t xml:space="preserve">zaštite, osiguranja, </w:t>
      </w:r>
      <w:r w:rsidR="007449F8">
        <w:rPr>
          <w:color w:val="000000"/>
        </w:rPr>
        <w:t xml:space="preserve">softvera, licenci, </w:t>
      </w:r>
      <w:r w:rsidRPr="00DC3CC0">
        <w:rPr>
          <w:color w:val="000000"/>
        </w:rPr>
        <w:t xml:space="preserve">ispitivanja </w:t>
      </w:r>
      <w:r w:rsidRPr="00DC3CC0">
        <w:rPr>
          <w:bCs/>
        </w:rPr>
        <w:t xml:space="preserve">i sl. </w:t>
      </w:r>
      <w:r w:rsidR="007449F8" w:rsidRPr="00B63A8D">
        <w:rPr>
          <w:color w:val="000000"/>
        </w:rPr>
        <w:t>Naknade iznad jediničnih cijena navedenih u ponudbenom Troškovniku neće se priznavati.</w:t>
      </w:r>
    </w:p>
    <w:p w14:paraId="01EE57D0" w14:textId="77777777" w:rsidR="00B01643" w:rsidRPr="00DC3CC0" w:rsidRDefault="00B01643" w:rsidP="00B01643">
      <w:pPr>
        <w:tabs>
          <w:tab w:val="left" w:pos="-2160"/>
        </w:tabs>
        <w:jc w:val="both"/>
        <w:rPr>
          <w:color w:val="000000"/>
        </w:rPr>
      </w:pPr>
    </w:p>
    <w:p w14:paraId="2FAB8222" w14:textId="34A13335" w:rsidR="00B01643" w:rsidRPr="00DC3CC0" w:rsidRDefault="00B01643" w:rsidP="00B01643">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sidR="009E3B69">
        <w:rPr>
          <w:color w:val="000000"/>
        </w:rPr>
        <w:t>stavaka</w:t>
      </w:r>
      <w:r w:rsidRPr="00DC3CC0">
        <w:rPr>
          <w:color w:val="000000"/>
        </w:rPr>
        <w:t xml:space="preserve"> Troškovnika može biti veći ili manji od </w:t>
      </w:r>
      <w:r w:rsidR="009E3B69">
        <w:rPr>
          <w:color w:val="000000"/>
        </w:rPr>
        <w:t>predviđenih količina.</w:t>
      </w:r>
    </w:p>
    <w:p w14:paraId="61AC1557" w14:textId="77777777" w:rsidR="00B01643" w:rsidRPr="00DC3CC0" w:rsidRDefault="00B01643" w:rsidP="00B01643">
      <w:pPr>
        <w:jc w:val="both"/>
      </w:pPr>
    </w:p>
    <w:p w14:paraId="21BB83EC" w14:textId="18A6F96E" w:rsidR="00B01643" w:rsidRDefault="00B01643" w:rsidP="00B01643">
      <w:pPr>
        <w:jc w:val="both"/>
        <w:rPr>
          <w:color w:val="000000"/>
        </w:rPr>
      </w:pPr>
      <w:r w:rsidRPr="00DC3CC0">
        <w:rPr>
          <w:b/>
          <w:bCs/>
        </w:rPr>
        <w:t>Odabrani ponuditelj je dužan dio sustava javne rasvjete na kojemu se vrše radovi koji su predmet nabave</w:t>
      </w:r>
      <w:r w:rsidRPr="00DC3CC0">
        <w:t xml:space="preserve"> </w:t>
      </w:r>
      <w:r w:rsidRPr="00DC3CC0">
        <w:rPr>
          <w:b/>
          <w:bCs/>
        </w:rPr>
        <w:t>dovesti</w:t>
      </w:r>
      <w:r w:rsidRPr="00DC3CC0">
        <w:t xml:space="preserve"> </w:t>
      </w:r>
      <w:r w:rsidRPr="00DC3CC0">
        <w:rPr>
          <w:b/>
          <w:bCs/>
        </w:rPr>
        <w:t xml:space="preserve">u stanje pune funkcionalnosti, odnosno potpune tehničke ispravnosti do </w:t>
      </w:r>
      <w:r w:rsidR="00A71C96">
        <w:rPr>
          <w:b/>
          <w:bCs/>
        </w:rPr>
        <w:t>10</w:t>
      </w:r>
      <w:r w:rsidRPr="00DC3CC0">
        <w:rPr>
          <w:b/>
          <w:bCs/>
        </w:rPr>
        <w:t xml:space="preserve">. prosinca </w:t>
      </w:r>
      <w:r w:rsidR="00A71C96">
        <w:rPr>
          <w:b/>
          <w:bCs/>
        </w:rPr>
        <w:t>2024</w:t>
      </w:r>
      <w:r w:rsidRPr="00DC3CC0">
        <w:rPr>
          <w:b/>
          <w:bCs/>
        </w:rPr>
        <w:t xml:space="preserve">., što uključuje provedbu ispitivanja predviđenih stavkom </w:t>
      </w:r>
      <w:r w:rsidR="006748DF">
        <w:rPr>
          <w:b/>
          <w:bCs/>
        </w:rPr>
        <w:t>16</w:t>
      </w:r>
      <w:r w:rsidRPr="00DC3CC0">
        <w:rPr>
          <w:b/>
          <w:bCs/>
        </w:rPr>
        <w:t>. Troškovnika.</w:t>
      </w:r>
      <w:r w:rsidRPr="00DC3CC0">
        <w:t xml:space="preserve"> </w:t>
      </w:r>
      <w:r w:rsidR="007C35D9" w:rsidRPr="008C6746">
        <w:rPr>
          <w:color w:val="000000"/>
        </w:rPr>
        <w:t xml:space="preserve">U slučaju nepridržavanja navedenog roka ili drugih ugovornih obveza od strane odabranog ponuditelja, Naručitelj ima pravo </w:t>
      </w:r>
      <w:r w:rsidR="007C35D9" w:rsidRPr="008C6746">
        <w:t>odabranom ponuditelju obračunati i naplatiti ugovorom definiranu kaznu.</w:t>
      </w:r>
    </w:p>
    <w:p w14:paraId="46C3CEB1" w14:textId="77777777" w:rsidR="007449F8" w:rsidRPr="00DC3CC0" w:rsidRDefault="007449F8" w:rsidP="007449F8">
      <w:pPr>
        <w:tabs>
          <w:tab w:val="left" w:pos="-2160"/>
        </w:tabs>
        <w:jc w:val="both"/>
      </w:pPr>
    </w:p>
    <w:p w14:paraId="49F8CF26" w14:textId="77777777" w:rsidR="00B01643" w:rsidRPr="00DC3CC0" w:rsidRDefault="00B01643" w:rsidP="00B01643">
      <w:pPr>
        <w:jc w:val="both"/>
        <w:rPr>
          <w:rFonts w:eastAsiaTheme="minorEastAsia"/>
          <w:b/>
          <w:bCs/>
          <w:lang w:eastAsia="zh-CN"/>
        </w:rPr>
      </w:pPr>
      <w:r w:rsidRPr="00DC3CC0">
        <w:rPr>
          <w:rFonts w:eastAsiaTheme="minorEastAsia"/>
          <w:b/>
          <w:bCs/>
          <w:lang w:eastAsia="zh-CN"/>
        </w:rPr>
        <w:lastRenderedPageBreak/>
        <w:t xml:space="preserve">Odabrani ponuditelj je obvezan, u roku od 30 (trideset) dana od dana uspješno realizirane primopredaje predmeta nabave, dostaviti Naručitelju jamstvo za otklanjanje nedostataka u jamstvenom roku. </w:t>
      </w:r>
      <w:r w:rsidRPr="00DC3CC0">
        <w:rPr>
          <w:rFonts w:eastAsiaTheme="minorEastAsia"/>
          <w:lang w:eastAsia="zh-CN"/>
        </w:rPr>
        <w:t xml:space="preserve">Uvjeti kojima se regulira jamstvo </w:t>
      </w:r>
      <w:r w:rsidRPr="00DC3CC0">
        <w:rPr>
          <w:color w:val="000000"/>
        </w:rPr>
        <w:t xml:space="preserve">za otklanjanje nedostataka u jamstvenom roku propisani su točkom </w:t>
      </w:r>
      <w:r w:rsidRPr="006748DF">
        <w:rPr>
          <w:color w:val="000000"/>
        </w:rPr>
        <w:t>21</w:t>
      </w:r>
      <w:r w:rsidRPr="00DC3CC0">
        <w:rPr>
          <w:color w:val="000000"/>
        </w:rPr>
        <w:t>. ovog Poziva.</w:t>
      </w:r>
    </w:p>
    <w:p w14:paraId="47053557" w14:textId="77777777" w:rsidR="00C64053" w:rsidRPr="00826B5B" w:rsidRDefault="00C64053" w:rsidP="00C64053"/>
    <w:p w14:paraId="74C0DB9C" w14:textId="6B22268C" w:rsidR="00B01643" w:rsidRDefault="00C64053" w:rsidP="00C64053">
      <w:r w:rsidRPr="00826B5B">
        <w:t>CPV oznak</w:t>
      </w:r>
      <w:r w:rsidR="00B01643">
        <w:t>e</w:t>
      </w:r>
      <w:r w:rsidRPr="00826B5B">
        <w:t>:</w:t>
      </w:r>
    </w:p>
    <w:p w14:paraId="2DDC1DA1" w14:textId="48CF3BF0" w:rsidR="00C64053" w:rsidRPr="00826B5B" w:rsidRDefault="00B01643" w:rsidP="00C64053">
      <w:r w:rsidRPr="00B01643">
        <w:t>45316000 - Radovi na instalaciji rasvjetnih i signalnih sustava</w:t>
      </w:r>
    </w:p>
    <w:p w14:paraId="25B5E277" w14:textId="77777777" w:rsidR="00B01643" w:rsidRPr="00DC3CC0" w:rsidRDefault="00B01643" w:rsidP="00B01643">
      <w:pPr>
        <w:rPr>
          <w:bCs/>
        </w:rPr>
      </w:pPr>
      <w:r w:rsidRPr="00DC3CC0">
        <w:rPr>
          <w:bCs/>
        </w:rPr>
        <w:t>31500000-1 - Rasvjetna oprema i električne svjetiljke</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0795A6B5" w:rsidR="004F51A4" w:rsidRDefault="00B01643" w:rsidP="00CF5ADC">
      <w:r>
        <w:t>Područje naselja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29ECBBA5" w:rsidR="00C64053" w:rsidRDefault="00C64053" w:rsidP="00C64053">
      <w:pPr>
        <w:tabs>
          <w:tab w:val="left" w:pos="0"/>
        </w:tabs>
        <w:jc w:val="both"/>
        <w:rPr>
          <w:color w:val="000000"/>
        </w:rPr>
      </w:pPr>
      <w:r>
        <w:rPr>
          <w:color w:val="000000"/>
        </w:rPr>
        <w:t xml:space="preserve">Temeljem provedenog postupka sklopit će se ugovor o nabavi </w:t>
      </w:r>
      <w:r w:rsidR="00B01643">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2E66786C" w:rsidR="00C64053" w:rsidRPr="00826B5B" w:rsidRDefault="00C64053" w:rsidP="00C64053">
      <w:pPr>
        <w:tabs>
          <w:tab w:val="left" w:pos="0"/>
        </w:tabs>
        <w:jc w:val="both"/>
        <w:rPr>
          <w:color w:val="FF0000"/>
        </w:rPr>
      </w:pPr>
      <w:r w:rsidRPr="00826B5B">
        <w:rPr>
          <w:color w:val="000000"/>
        </w:rPr>
        <w:t xml:space="preserve">Ugovor se sklapa na razdoblje </w:t>
      </w:r>
      <w:r w:rsidR="00B01643">
        <w:rPr>
          <w:color w:val="000000"/>
        </w:rPr>
        <w:t>do 10. prosinca 2024</w:t>
      </w:r>
      <w:r w:rsidRPr="00826B5B">
        <w:rPr>
          <w:color w:val="000000"/>
        </w:rPr>
        <w:t>.</w:t>
      </w:r>
    </w:p>
    <w:p w14:paraId="7BA62017" w14:textId="4866771A" w:rsidR="003D0413" w:rsidRDefault="003D0413" w:rsidP="00CF5ADC">
      <w:pPr>
        <w:tabs>
          <w:tab w:val="left" w:pos="0"/>
        </w:tabs>
        <w:jc w:val="both"/>
        <w:rPr>
          <w:color w:val="00B0F0"/>
        </w:rPr>
      </w:pPr>
    </w:p>
    <w:p w14:paraId="67E40C42" w14:textId="77777777" w:rsidR="007C35D9" w:rsidRPr="00271FBB" w:rsidRDefault="007C35D9" w:rsidP="007C35D9">
      <w:pPr>
        <w:tabs>
          <w:tab w:val="left" w:pos="0"/>
        </w:tabs>
        <w:jc w:val="both"/>
        <w:rPr>
          <w:color w:val="000000"/>
        </w:rPr>
      </w:pPr>
      <w:r w:rsidRPr="00271FBB">
        <w:rPr>
          <w:color w:val="000000"/>
        </w:rPr>
        <w:t>Ugovor o nabavi stupa na snagu s danom potpisa posljednje ugovorne strane.</w:t>
      </w:r>
    </w:p>
    <w:p w14:paraId="406E70A4" w14:textId="77777777" w:rsidR="007C35D9" w:rsidRPr="00826B5B" w:rsidRDefault="007C35D9"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0D44A6BB" w14:textId="41AFFC5D" w:rsidR="00A71C96" w:rsidRDefault="00A71C96" w:rsidP="00A71C96">
      <w:pPr>
        <w:jc w:val="both"/>
        <w:rPr>
          <w:bCs/>
          <w:color w:val="000000"/>
        </w:rPr>
      </w:pPr>
      <w:r w:rsidRPr="00A71C96">
        <w:rPr>
          <w:bCs/>
          <w:color w:val="000000"/>
        </w:rPr>
        <w:t>Obračun naknade za izvedene radove vršit će se temeljem stvarno realiziranih količina troškovničkih stavki ovjerenih u Građevinskoj knjizi te primjenom jediničnih cijena</w:t>
      </w:r>
      <w:r w:rsidR="007C35D9">
        <w:rPr>
          <w:bCs/>
          <w:color w:val="000000"/>
        </w:rPr>
        <w:t xml:space="preserve"> iz ponudbenog</w:t>
      </w:r>
      <w:r w:rsidRPr="00A71C96">
        <w:rPr>
          <w:bCs/>
          <w:color w:val="000000"/>
        </w:rPr>
        <w:t xml:space="preserve"> Troškovnika.</w:t>
      </w:r>
    </w:p>
    <w:p w14:paraId="6BF4ACA8" w14:textId="77777777" w:rsidR="00A71C96" w:rsidRDefault="00A71C96" w:rsidP="00A71C96">
      <w:pPr>
        <w:jc w:val="both"/>
        <w:rPr>
          <w:bCs/>
          <w:color w:val="000000"/>
        </w:rPr>
      </w:pPr>
    </w:p>
    <w:p w14:paraId="49504B3D" w14:textId="3672C1D3" w:rsidR="007C35D9" w:rsidRPr="00271FBB" w:rsidRDefault="007C35D9" w:rsidP="007C35D9">
      <w:pPr>
        <w:tabs>
          <w:tab w:val="left" w:pos="0"/>
        </w:tabs>
        <w:jc w:val="both"/>
        <w:rPr>
          <w:bCs/>
          <w:color w:val="000000"/>
        </w:rPr>
      </w:pPr>
      <w:r w:rsidRPr="00271FBB">
        <w:rPr>
          <w:bCs/>
          <w:color w:val="000000"/>
        </w:rPr>
        <w:t xml:space="preserve">Plaćanje će se izvršiti u roku od 30 dana </w:t>
      </w:r>
      <w:r w:rsidRPr="00387AD4">
        <w:rPr>
          <w:bCs/>
        </w:rPr>
        <w:t xml:space="preserve">od dana zaprimanja </w:t>
      </w:r>
      <w:r w:rsidRPr="00387AD4">
        <w:rPr>
          <w:bCs/>
          <w:color w:val="000000"/>
        </w:rPr>
        <w:t xml:space="preserve">valjanog </w:t>
      </w:r>
      <w:r w:rsidRPr="00AF778B">
        <w:t>elektroničkog računa (</w:t>
      </w:r>
      <w:proofErr w:type="spellStart"/>
      <w:r w:rsidRPr="00AF778B">
        <w:t>eRačuna</w:t>
      </w:r>
      <w:proofErr w:type="spellEnd"/>
      <w:r w:rsidRPr="00AF778B">
        <w:t>)</w:t>
      </w:r>
      <w:r w:rsidRPr="00271FBB">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2"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Default="004F51A4" w:rsidP="00CF5ADC">
      <w:pPr>
        <w:tabs>
          <w:tab w:val="left" w:pos="0"/>
        </w:tabs>
        <w:jc w:val="both"/>
        <w:rPr>
          <w:b/>
          <w:color w:val="FF0000"/>
        </w:rPr>
      </w:pPr>
    </w:p>
    <w:p w14:paraId="6015C9EC" w14:textId="77777777" w:rsidR="00B01643" w:rsidRPr="00DC3CC0" w:rsidRDefault="00B01643" w:rsidP="00B01643">
      <w:pPr>
        <w:pStyle w:val="ListParagraph"/>
        <w:numPr>
          <w:ilvl w:val="0"/>
          <w:numId w:val="27"/>
        </w:numPr>
        <w:shd w:val="clear" w:color="auto" w:fill="C6D9F1" w:themeFill="text2" w:themeFillTint="33"/>
        <w:tabs>
          <w:tab w:val="left" w:pos="0"/>
        </w:tabs>
        <w:ind w:left="0" w:firstLine="0"/>
        <w:jc w:val="both"/>
        <w:rPr>
          <w:b/>
          <w:color w:val="FF0000"/>
          <w:sz w:val="24"/>
          <w:szCs w:val="24"/>
        </w:rPr>
      </w:pPr>
      <w:r w:rsidRPr="00DC3CC0">
        <w:rPr>
          <w:b/>
          <w:sz w:val="24"/>
          <w:szCs w:val="24"/>
        </w:rPr>
        <w:t>ODREDBE O NORMAMA:</w:t>
      </w:r>
    </w:p>
    <w:p w14:paraId="3EF04E42" w14:textId="77777777" w:rsidR="00B01643" w:rsidRPr="00DC3CC0" w:rsidRDefault="00B01643" w:rsidP="00B01643">
      <w:pPr>
        <w:tabs>
          <w:tab w:val="left" w:pos="0"/>
        </w:tabs>
        <w:jc w:val="both"/>
      </w:pPr>
    </w:p>
    <w:p w14:paraId="7DCA9728" w14:textId="37F90886" w:rsidR="00B01643" w:rsidRPr="00B01643" w:rsidRDefault="00B01643" w:rsidP="00CF5ADC">
      <w:pPr>
        <w:tabs>
          <w:tab w:val="left" w:pos="0"/>
        </w:tabs>
        <w:jc w:val="both"/>
      </w:pPr>
      <w:r w:rsidRPr="00DC3CC0">
        <w:t xml:space="preserve">Naručitelj je pojedine dijelove natječajne dokumentacije formulirao na način da isti upućuju na nacionalne norme kojima su prihvaćene europske norme, europska tehnička odobrenja, zajedničke tehničke specifikacije, međunarodne norme, druge tehničke referentne sustave koje su utvrdila europska normizacijska tijela, ili ukoliko bilo koji od prethodnih ne postoji, na nacionalne norme, nacionalna tehnička odobrenja ili nacionalne tehničke specifikacije, pri čemu je svako upućivanje popraćeno izrazom „ili jednakovrijedno“. Naručitelj ne smije odbiti ponudu zbog toga što ponuđeni radovi, roba ili usluge nisu u skladu s normama na koje je uputio, ako ponuditelj u ponudi na zadovoljavajući način Naručitelju dokaže, bilo kojim prikladnim sredstvom, što uključuje i sredstva dokazivanja iz članka 213. ZJN 2016, da </w:t>
      </w:r>
      <w:r w:rsidRPr="00DC3CC0">
        <w:lastRenderedPageBreak/>
        <w:t>ponuđeni radovi, roba ili usluge na jednakovrijedan način zadovoljavaju zahtjeve definirane natječajnom dokumentacijom.</w:t>
      </w:r>
    </w:p>
    <w:p w14:paraId="296936A4" w14:textId="77777777" w:rsidR="00B01643" w:rsidRPr="00826B5B" w:rsidRDefault="00B01643"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0" w:name="_Hlk74140332"/>
      <w:bookmarkStart w:id="1"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0"/>
    <w:bookmarkEnd w:id="1"/>
    <w:p w14:paraId="65D4EA9E" w14:textId="77777777" w:rsidR="00C64053" w:rsidRPr="007449F8" w:rsidRDefault="00C64053" w:rsidP="00C64053">
      <w:pPr>
        <w:pStyle w:val="ListParagraph"/>
        <w:numPr>
          <w:ilvl w:val="1"/>
          <w:numId w:val="27"/>
        </w:numPr>
        <w:tabs>
          <w:tab w:val="left" w:pos="0"/>
        </w:tabs>
        <w:jc w:val="both"/>
        <w:rPr>
          <w:b/>
          <w:bCs/>
          <w:sz w:val="24"/>
          <w:szCs w:val="24"/>
        </w:rPr>
      </w:pPr>
      <w:r w:rsidRPr="007449F8">
        <w:rPr>
          <w:b/>
          <w:bCs/>
          <w:sz w:val="24"/>
          <w:szCs w:val="24"/>
        </w:rPr>
        <w:t>Popunjeni, potpisani i pečatom ovjereni Troškovnik</w:t>
      </w:r>
    </w:p>
    <w:p w14:paraId="34399D2B" w14:textId="77777777" w:rsidR="00C64053" w:rsidRPr="007449F8" w:rsidRDefault="00C64053" w:rsidP="00C64053">
      <w:pPr>
        <w:tabs>
          <w:tab w:val="left" w:pos="0"/>
        </w:tabs>
        <w:jc w:val="both"/>
      </w:pPr>
      <w:r w:rsidRPr="007449F8">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7307B3B6" w14:textId="77777777" w:rsidR="007449F8" w:rsidRPr="00DC3CC0" w:rsidRDefault="007449F8" w:rsidP="007449F8">
      <w:pPr>
        <w:pStyle w:val="ListParagraph"/>
        <w:numPr>
          <w:ilvl w:val="1"/>
          <w:numId w:val="27"/>
        </w:numPr>
        <w:ind w:left="0" w:firstLine="0"/>
        <w:jc w:val="both"/>
        <w:rPr>
          <w:b/>
          <w:sz w:val="24"/>
          <w:szCs w:val="24"/>
        </w:rPr>
      </w:pPr>
      <w:r w:rsidRPr="00DC3CC0">
        <w:rPr>
          <w:b/>
          <w:sz w:val="24"/>
          <w:szCs w:val="24"/>
        </w:rPr>
        <w:t xml:space="preserve">Popunjena, potpisana i pečatom ovjerena </w:t>
      </w:r>
      <w:bookmarkStart w:id="2" w:name="_Hlk149914602"/>
      <w:r w:rsidRPr="00DC3CC0">
        <w:rPr>
          <w:b/>
          <w:sz w:val="24"/>
          <w:szCs w:val="24"/>
        </w:rPr>
        <w:t xml:space="preserve">Tehnička specifikacija </w:t>
      </w:r>
      <w:bookmarkStart w:id="3" w:name="_Hlk149813510"/>
      <w:r w:rsidRPr="00DC3CC0">
        <w:rPr>
          <w:b/>
          <w:sz w:val="24"/>
          <w:szCs w:val="24"/>
        </w:rPr>
        <w:t>ponuđene robe</w:t>
      </w:r>
      <w:bookmarkEnd w:id="2"/>
      <w:bookmarkEnd w:id="3"/>
    </w:p>
    <w:p w14:paraId="09863B7D" w14:textId="667671E9" w:rsidR="007449F8" w:rsidRPr="00DC3CC0" w:rsidRDefault="007449F8" w:rsidP="007449F8">
      <w:pPr>
        <w:tabs>
          <w:tab w:val="left" w:pos="0"/>
        </w:tabs>
        <w:jc w:val="both"/>
      </w:pPr>
      <w:r w:rsidRPr="00DC3CC0">
        <w:t xml:space="preserve">Tehnička specifikacija </w:t>
      </w:r>
      <w:r>
        <w:t>ponuđene robe</w:t>
      </w:r>
      <w:r w:rsidRPr="007449F8">
        <w:t xml:space="preserve"> (u daljnjem tekstu: Tehnička specifikacija)</w:t>
      </w:r>
      <w:r>
        <w:t xml:space="preserve"> </w:t>
      </w:r>
      <w:r w:rsidRPr="00DC3CC0">
        <w:t xml:space="preserve">mora biti u cijelosti popunjena, potpisana od strane ovlaštene osobe ponuditelja i ovjerena pečatom. </w:t>
      </w:r>
      <w:bookmarkStart w:id="4" w:name="_Hlk149911897"/>
      <w:r w:rsidRPr="00DC3CC0">
        <w:t>Nije dopušteno upisivanje dodatnih ili izbacivanje pojedinih dijelova Tehničke specifikacije.</w:t>
      </w:r>
      <w:bookmarkEnd w:id="4"/>
      <w:r w:rsidRPr="00DC3CC0">
        <w:t xml:space="preserve"> Ako ponuditelj ne ispuni sve tražene stavke iz Tehničke specifikacije ili promijeni tekst Tehničke specifikacije, takva Tehnička specifikacija smatrat će se nepotpunom i nevažećom. Obrazac Tehničke specifikacije stavlja se na raspolaganje ponuditeljima kao Prilog 3. ovog Poziva.</w:t>
      </w:r>
    </w:p>
    <w:p w14:paraId="7DA4F350" w14:textId="77777777" w:rsidR="007449F8" w:rsidRPr="00DC3CC0" w:rsidRDefault="007449F8" w:rsidP="007449F8">
      <w:pPr>
        <w:tabs>
          <w:tab w:val="left" w:pos="0"/>
        </w:tabs>
        <w:jc w:val="both"/>
      </w:pPr>
    </w:p>
    <w:p w14:paraId="3C173A26" w14:textId="77777777" w:rsidR="007449F8" w:rsidRPr="00DC3CC0" w:rsidRDefault="007449F8" w:rsidP="007449F8">
      <w:pPr>
        <w:pStyle w:val="ListParagraph"/>
        <w:numPr>
          <w:ilvl w:val="1"/>
          <w:numId w:val="27"/>
        </w:numPr>
        <w:ind w:left="0" w:firstLine="0"/>
        <w:jc w:val="both"/>
        <w:rPr>
          <w:b/>
          <w:sz w:val="24"/>
          <w:szCs w:val="24"/>
        </w:rPr>
      </w:pPr>
      <w:r w:rsidRPr="00DC3CC0">
        <w:rPr>
          <w:b/>
          <w:sz w:val="24"/>
          <w:szCs w:val="24"/>
        </w:rPr>
        <w:t>Tehnička dokumentacija ponuđene robe</w:t>
      </w:r>
    </w:p>
    <w:p w14:paraId="621EA7D5" w14:textId="4920E104" w:rsidR="007449F8" w:rsidRPr="00DC3CC0" w:rsidRDefault="007449F8" w:rsidP="007449F8">
      <w:pPr>
        <w:tabs>
          <w:tab w:val="left" w:pos="0"/>
        </w:tabs>
        <w:jc w:val="both"/>
        <w:rPr>
          <w:b/>
          <w:bCs/>
        </w:rPr>
      </w:pPr>
      <w:r w:rsidRPr="00DC3CC0">
        <w:t xml:space="preserve">Ponuditelj je obvezan ponudi priložiti dokumentaciju kojom dokazuje da ponuđena roba zadovoljava minimalne uvjete propisane Tehničkom specifikacijom i Troškovnikom (tehnička specifikacija proizvođača, tehnički list, upute za montažu ili drugi jednakovrijedan dokument). </w:t>
      </w:r>
      <w:r w:rsidRPr="00DC3CC0">
        <w:rPr>
          <w:b/>
          <w:bCs/>
        </w:rPr>
        <w:t xml:space="preserve">Traženu dokumentaciju je potrebno dostaviti za </w:t>
      </w:r>
      <w:r w:rsidR="008634FA">
        <w:rPr>
          <w:b/>
          <w:bCs/>
        </w:rPr>
        <w:t>opremu koju će odabrani ponuditelj ugraditi u sklopu</w:t>
      </w:r>
      <w:r w:rsidRPr="00DC3CC0">
        <w:rPr>
          <w:b/>
          <w:bCs/>
        </w:rPr>
        <w:t xml:space="preserve"> </w:t>
      </w:r>
      <w:r w:rsidR="006748DF">
        <w:rPr>
          <w:b/>
          <w:bCs/>
        </w:rPr>
        <w:t xml:space="preserve">izvođenja radova iz </w:t>
      </w:r>
      <w:r w:rsidRPr="00DC3CC0">
        <w:rPr>
          <w:b/>
          <w:bCs/>
        </w:rPr>
        <w:t xml:space="preserve">stavaka </w:t>
      </w:r>
      <w:r w:rsidRPr="006748DF">
        <w:rPr>
          <w:b/>
          <w:bCs/>
        </w:rPr>
        <w:t xml:space="preserve">2. - </w:t>
      </w:r>
      <w:r w:rsidR="006748DF">
        <w:rPr>
          <w:b/>
          <w:bCs/>
        </w:rPr>
        <w:t>14</w:t>
      </w:r>
      <w:r w:rsidRPr="00DC3CC0">
        <w:rPr>
          <w:b/>
          <w:bCs/>
        </w:rPr>
        <w:t>. Troškovnika.</w:t>
      </w:r>
      <w:r w:rsidRPr="00DC3CC0">
        <w:t xml:space="preserve"> Tražena dokumentacija može biti na engleskom jeziku. </w:t>
      </w:r>
      <w:r w:rsidRPr="00DC3CC0">
        <w:rPr>
          <w:b/>
          <w:bCs/>
        </w:rPr>
        <w:t>U slučaju da Naručitelj iz dostavljene dokumentacije ili drugih javno dostupnih izvora niti nakon pojašnjenja ponuditelja nije u mogućnosti utvrditi da ponuđena roba odgovara uvjetima definiranima Tehničkom specifikacijom i Troškovnikom</w:t>
      </w:r>
      <w:r w:rsidRPr="00DC3CC0">
        <w:t xml:space="preserve"> </w:t>
      </w:r>
      <w:r w:rsidRPr="00DC3CC0">
        <w:rPr>
          <w:b/>
          <w:bCs/>
        </w:rPr>
        <w:t>ponuda će biti odbačena kao neprihvatljiva.</w:t>
      </w:r>
    </w:p>
    <w:p w14:paraId="4D198306" w14:textId="77777777" w:rsidR="007449F8" w:rsidRPr="00DC3CC0" w:rsidRDefault="007449F8" w:rsidP="007449F8">
      <w:pPr>
        <w:tabs>
          <w:tab w:val="left" w:pos="0"/>
        </w:tabs>
        <w:jc w:val="both"/>
      </w:pPr>
    </w:p>
    <w:p w14:paraId="66C4658E" w14:textId="77777777" w:rsidR="007449F8" w:rsidRPr="00DC3CC0" w:rsidRDefault="007449F8" w:rsidP="007449F8">
      <w:pPr>
        <w:pStyle w:val="ListParagraph"/>
        <w:numPr>
          <w:ilvl w:val="1"/>
          <w:numId w:val="27"/>
        </w:numPr>
        <w:tabs>
          <w:tab w:val="left" w:pos="0"/>
        </w:tabs>
        <w:ind w:left="0" w:firstLine="0"/>
        <w:jc w:val="both"/>
        <w:rPr>
          <w:bCs/>
          <w:sz w:val="24"/>
          <w:szCs w:val="24"/>
        </w:rPr>
      </w:pPr>
      <w:proofErr w:type="spellStart"/>
      <w:r w:rsidRPr="00DC3CC0">
        <w:rPr>
          <w:b/>
          <w:bCs/>
          <w:sz w:val="24"/>
          <w:szCs w:val="24"/>
        </w:rPr>
        <w:t>Svjetlotehnički</w:t>
      </w:r>
      <w:proofErr w:type="spellEnd"/>
      <w:r w:rsidRPr="00DC3CC0">
        <w:rPr>
          <w:b/>
          <w:bCs/>
          <w:sz w:val="24"/>
          <w:szCs w:val="24"/>
        </w:rPr>
        <w:t xml:space="preserve"> proračun za ponuđene svjetiljke</w:t>
      </w:r>
    </w:p>
    <w:p w14:paraId="1778D367" w14:textId="2AE7A826" w:rsidR="007449F8" w:rsidRPr="00DC3CC0" w:rsidRDefault="007449F8" w:rsidP="007449F8">
      <w:pPr>
        <w:jc w:val="both"/>
        <w:rPr>
          <w:highlight w:val="yellow"/>
        </w:rPr>
      </w:pPr>
      <w:r w:rsidRPr="00DC3CC0">
        <w:t xml:space="preserve">Ponuditelj je obvezan dokazati da ponuđene svjetiljke iz stavaka </w:t>
      </w:r>
      <w:r w:rsidRPr="006748DF">
        <w:t xml:space="preserve">2. - </w:t>
      </w:r>
      <w:r w:rsidR="006748DF">
        <w:t>11</w:t>
      </w:r>
      <w:r w:rsidRPr="00DC3CC0">
        <w:t xml:space="preserve">. Troškovnika zadovoljavaju </w:t>
      </w:r>
      <w:proofErr w:type="spellStart"/>
      <w:r w:rsidRPr="00DC3CC0">
        <w:t>svjetlotehničke</w:t>
      </w:r>
      <w:proofErr w:type="spellEnd"/>
      <w:r w:rsidRPr="00DC3CC0">
        <w:t xml:space="preserve"> parametre cestovne rasvjete propisane </w:t>
      </w:r>
      <w:r w:rsidRPr="00100DDF">
        <w:t>važećo</w:t>
      </w:r>
      <w:r>
        <w:t>m</w:t>
      </w:r>
      <w:r w:rsidRPr="00100DDF">
        <w:t xml:space="preserve"> </w:t>
      </w:r>
      <w:r w:rsidRPr="00DC3CC0">
        <w:t xml:space="preserve">normom HRN EN 13201-2 ili jednakovrijedno, što dokazuje dostavom </w:t>
      </w:r>
      <w:proofErr w:type="spellStart"/>
      <w:r w:rsidRPr="00DC3CC0">
        <w:t>svjetlotehničkog</w:t>
      </w:r>
      <w:proofErr w:type="spellEnd"/>
      <w:r w:rsidRPr="00DC3CC0">
        <w:t xml:space="preserve"> proračuna za ponuđene svjetiljke. Nadalje, ponuditelji su dužni dostaviti sve fotometrijske krivulje korištene pri izradi </w:t>
      </w:r>
      <w:proofErr w:type="spellStart"/>
      <w:r w:rsidRPr="00DC3CC0">
        <w:t>svjetlotehničkih</w:t>
      </w:r>
      <w:proofErr w:type="spellEnd"/>
      <w:r w:rsidRPr="00DC3CC0">
        <w:t xml:space="preserve"> proračuna u digitalnom obliku (u .</w:t>
      </w:r>
      <w:proofErr w:type="spellStart"/>
      <w:r w:rsidRPr="00DC3CC0">
        <w:t>ies</w:t>
      </w:r>
      <w:proofErr w:type="spellEnd"/>
      <w:r w:rsidRPr="00DC3CC0">
        <w:t xml:space="preserve"> ili .</w:t>
      </w:r>
      <w:proofErr w:type="spellStart"/>
      <w:r w:rsidRPr="00DC3CC0">
        <w:t>ldt</w:t>
      </w:r>
      <w:proofErr w:type="spellEnd"/>
      <w:r w:rsidRPr="00DC3CC0">
        <w:t xml:space="preserve"> formatu), kao i testno </w:t>
      </w:r>
      <w:r w:rsidRPr="00DC3CC0">
        <w:lastRenderedPageBreak/>
        <w:t xml:space="preserve">izvješće prema </w:t>
      </w:r>
      <w:r w:rsidRPr="00100DDF">
        <w:t xml:space="preserve">važećoj </w:t>
      </w:r>
      <w:r w:rsidRPr="00DC3CC0">
        <w:t xml:space="preserve">normi HRN EN 13032-4 ili jednakovrijedno. </w:t>
      </w:r>
      <w:r w:rsidRPr="00DC3CC0">
        <w:rPr>
          <w:b/>
          <w:bCs/>
        </w:rPr>
        <w:t xml:space="preserve">Sve dokaze iz ove točke Poziva ponuditelj je dužan dostaviti u digitalnom formatu na prikladnom mediju (CD/DVD/USB </w:t>
      </w:r>
      <w:proofErr w:type="spellStart"/>
      <w:r w:rsidRPr="00DC3CC0">
        <w:rPr>
          <w:b/>
          <w:bCs/>
        </w:rPr>
        <w:t>stick</w:t>
      </w:r>
      <w:proofErr w:type="spellEnd"/>
      <w:r w:rsidRPr="00DC3CC0">
        <w:rPr>
          <w:b/>
          <w:bCs/>
        </w:rPr>
        <w:t>) koji se prilaže ponudi.</w:t>
      </w:r>
      <w:r w:rsidRPr="00DC3CC0">
        <w:t xml:space="preserve"> Popis ulaznih parametara za izradu </w:t>
      </w:r>
      <w:proofErr w:type="spellStart"/>
      <w:r w:rsidRPr="00DC3CC0">
        <w:t>svjetlotehničkih</w:t>
      </w:r>
      <w:proofErr w:type="spellEnd"/>
      <w:r w:rsidRPr="00DC3CC0">
        <w:t xml:space="preserve"> proračuna stavlja se na raspolaganje ponuditeljima kao Prilog 4. ovog Poziva. </w:t>
      </w:r>
      <w:r w:rsidRPr="00DC3CC0">
        <w:rPr>
          <w:b/>
          <w:bCs/>
        </w:rPr>
        <w:t>U slučaju da Naručitelj iz dostavljene dokumentacije ili drugih javno dostupnih izvora niti nakon pojašnjenja ponuditelja nije u mogućnosti utvrditi da ponuđene svjetiljke odgovaraju uvjetima iz ove točke ponuda će biti odbačena kao neprihvatljiva.</w:t>
      </w:r>
    </w:p>
    <w:p w14:paraId="1152CF97" w14:textId="77777777" w:rsidR="007449F8" w:rsidRPr="00DC3CC0" w:rsidRDefault="007449F8" w:rsidP="007449F8">
      <w:pPr>
        <w:tabs>
          <w:tab w:val="left" w:pos="0"/>
        </w:tabs>
        <w:jc w:val="both"/>
        <w:rPr>
          <w:bCs/>
          <w:highlight w:val="yellow"/>
        </w:rPr>
      </w:pPr>
    </w:p>
    <w:p w14:paraId="30F29E09" w14:textId="77777777" w:rsidR="007449F8" w:rsidRPr="00DC3CC0" w:rsidRDefault="007449F8" w:rsidP="007449F8">
      <w:pPr>
        <w:pStyle w:val="ListParagraph"/>
        <w:numPr>
          <w:ilvl w:val="1"/>
          <w:numId w:val="27"/>
        </w:numPr>
        <w:tabs>
          <w:tab w:val="left" w:pos="0"/>
        </w:tabs>
        <w:ind w:left="0" w:firstLine="0"/>
        <w:jc w:val="both"/>
        <w:rPr>
          <w:b/>
          <w:bCs/>
          <w:sz w:val="24"/>
          <w:szCs w:val="24"/>
        </w:rPr>
      </w:pPr>
      <w:r w:rsidRPr="00DC3CC0">
        <w:rPr>
          <w:b/>
          <w:bCs/>
          <w:sz w:val="24"/>
          <w:szCs w:val="24"/>
        </w:rPr>
        <w:t>Podaci o nominiranom tehničkom stručnjaku za realizaciju ugovora o nabavi</w:t>
      </w:r>
    </w:p>
    <w:p w14:paraId="66A5925D" w14:textId="601E58AE" w:rsidR="007449F8" w:rsidRPr="00DC3CC0" w:rsidRDefault="00391305" w:rsidP="007449F8">
      <w:pPr>
        <w:jc w:val="both"/>
      </w:pPr>
      <w:r>
        <w:t>Uzimajući u obzir</w:t>
      </w:r>
      <w:r w:rsidRPr="00160FD6">
        <w:t xml:space="preserve"> </w:t>
      </w:r>
      <w:r>
        <w:t>vrijednost i složenost predmeta nabave</w:t>
      </w:r>
      <w:r w:rsidR="007449F8" w:rsidRPr="00DC3CC0">
        <w:t xml:space="preserve">, Naručitelj je zaključio da je potrebno da u realizaciji ugovora o nabavi sudjeluju stručnjaci koji posjeduju adekvatno znanje i iskustvo vezano uz ugradnju </w:t>
      </w:r>
      <w:r w:rsidR="007449F8">
        <w:t xml:space="preserve">opreme </w:t>
      </w:r>
      <w:r w:rsidR="002864E4">
        <w:t xml:space="preserve">koja će se vršiti </w:t>
      </w:r>
      <w:r>
        <w:t>u sklopu predmetnih radova</w:t>
      </w:r>
      <w:r w:rsidR="007449F8" w:rsidRPr="00DC3CC0">
        <w:t xml:space="preserve">. Slijedom navedenog, ponuditelj je dužan osigurati da za </w:t>
      </w:r>
      <w:r w:rsidR="007449F8" w:rsidRPr="00DC3CC0">
        <w:rPr>
          <w:rFonts w:eastAsiaTheme="minorEastAsia"/>
          <w:lang w:eastAsia="zh-CN"/>
        </w:rPr>
        <w:t xml:space="preserve">cijelo vrijeme realizacije ugovora o nabavi </w:t>
      </w:r>
      <w:r w:rsidR="007449F8" w:rsidRPr="00DC3CC0">
        <w:t xml:space="preserve">raspolaže s </w:t>
      </w:r>
      <w:r w:rsidR="007449F8" w:rsidRPr="00DC3CC0">
        <w:rPr>
          <w:b/>
          <w:bCs/>
        </w:rPr>
        <w:t>minimalno jednim stručnjakom - inženjerom</w:t>
      </w:r>
      <w:r w:rsidR="007449F8" w:rsidRPr="00DC3CC0">
        <w:rPr>
          <w:b/>
        </w:rPr>
        <w:t xml:space="preserve"> gradilišta ili voditeljem rado</w:t>
      </w:r>
      <w:r w:rsidR="007449F8" w:rsidRPr="00DC3CC0">
        <w:t>v</w:t>
      </w:r>
      <w:r w:rsidR="007449F8" w:rsidRPr="00DC3CC0">
        <w:rPr>
          <w:b/>
        </w:rPr>
        <w:t>a elektrotehničke struke.</w:t>
      </w:r>
      <w:r w:rsidR="002864E4">
        <w:rPr>
          <w:b/>
        </w:rPr>
        <w:t xml:space="preserve"> </w:t>
      </w:r>
      <w:r w:rsidR="002864E4">
        <w:rPr>
          <w:bCs/>
        </w:rPr>
        <w:t>Ponuditelj</w:t>
      </w:r>
      <w:r w:rsidR="002864E4" w:rsidRPr="002864E4">
        <w:rPr>
          <w:bCs/>
        </w:rPr>
        <w:t xml:space="preserve"> može u izvršenju ugovora o nabavi angažirati i veći broj tehničkih stručnjaka ukoliko je to potrebno za kvalitetnu i pravovremenu realizaciju predmeta nabave.</w:t>
      </w:r>
    </w:p>
    <w:p w14:paraId="78ECE47B" w14:textId="77777777" w:rsidR="007449F8" w:rsidRDefault="007449F8" w:rsidP="007449F8">
      <w:pPr>
        <w:jc w:val="both"/>
      </w:pPr>
    </w:p>
    <w:p w14:paraId="2A20DB91" w14:textId="729878AF" w:rsidR="00FB4901" w:rsidRPr="00DC3CC0" w:rsidRDefault="00FB4901" w:rsidP="00FB4901">
      <w:pPr>
        <w:jc w:val="both"/>
      </w:pPr>
      <w:r w:rsidRPr="00DC3CC0">
        <w:t xml:space="preserve">U svrhu dokazivanja gore navedenog, ponuditelj je dužan u sklopu ponude </w:t>
      </w:r>
      <w:r w:rsidRPr="00FB4901">
        <w:rPr>
          <w:b/>
          <w:bCs/>
        </w:rPr>
        <w:t>dostaviti ispunjeni obrazac „Izjava o nominiranom stručnjaku“</w:t>
      </w:r>
      <w:r>
        <w:t xml:space="preserve">, koji se </w:t>
      </w:r>
      <w:r w:rsidRPr="00DC3CC0">
        <w:t xml:space="preserve">ponuditeljima stavlja na raspolaganje kao Prilog </w:t>
      </w:r>
      <w:r w:rsidR="00596E36">
        <w:t>5</w:t>
      </w:r>
      <w:r w:rsidRPr="00DC3CC0">
        <w:t>. ovog Poziva</w:t>
      </w:r>
      <w:r>
        <w:t xml:space="preserve">. </w:t>
      </w:r>
      <w:r w:rsidRPr="00FB4901">
        <w:rPr>
          <w:b/>
          <w:bCs/>
        </w:rPr>
        <w:t>Uz spomenutu izjavu potrebno je priložiti dokaz da nominirani stručnjak ispunjava uvjete iz članaka 24. ili 25. Zakona o poslovima i djelatnostima prostornog uređenja i gradnje („Narodne novine“ broj 78/15, 118/18 i 110/19):</w:t>
      </w:r>
    </w:p>
    <w:p w14:paraId="49941E32" w14:textId="77777777" w:rsidR="00FB4901" w:rsidRPr="00DC3CC0" w:rsidRDefault="00FB4901" w:rsidP="00FB4901">
      <w:pPr>
        <w:pStyle w:val="ListParagraph"/>
        <w:numPr>
          <w:ilvl w:val="0"/>
          <w:numId w:val="40"/>
        </w:numPr>
        <w:jc w:val="both"/>
        <w:rPr>
          <w:sz w:val="24"/>
          <w:szCs w:val="24"/>
        </w:rPr>
      </w:pPr>
      <w:r w:rsidRPr="00DC3CC0">
        <w:rPr>
          <w:sz w:val="24"/>
          <w:szCs w:val="24"/>
        </w:rPr>
        <w:t xml:space="preserve">ispravu kojom se dokazuje da je nominirani stručnjak završio preddiplomski sveučilišni studij iz područja elektrotehnike i stekao akademski naziv sveučilišni prvostupnik (baccalaureus) inženjer elektrotehnike ili stručni studij iz područja elektrotehnike kojim se stječe stručni naziv stručni prvostupnik (baccalaureus) inženjer elektrotehnike ako je tijekom cijelog svog studija stekao najmanje 180 ECTS bodova, odnosno ako je na drugi način propisan posebnim propisom stekao odgovarajući stupanj obrazovanja elektrotehničke struke </w:t>
      </w:r>
      <w:r w:rsidRPr="00FB4901">
        <w:rPr>
          <w:b/>
          <w:bCs/>
          <w:sz w:val="24"/>
          <w:szCs w:val="24"/>
        </w:rPr>
        <w:t>ili</w:t>
      </w:r>
    </w:p>
    <w:p w14:paraId="525739CE" w14:textId="77777777" w:rsidR="00FB4901" w:rsidRDefault="00FB4901" w:rsidP="00FB4901">
      <w:pPr>
        <w:pStyle w:val="ListParagraph"/>
        <w:numPr>
          <w:ilvl w:val="0"/>
          <w:numId w:val="40"/>
        </w:numPr>
        <w:jc w:val="both"/>
        <w:rPr>
          <w:sz w:val="24"/>
          <w:szCs w:val="24"/>
        </w:rPr>
      </w:pPr>
      <w:r w:rsidRPr="00DC3CC0">
        <w:rPr>
          <w:sz w:val="24"/>
          <w:szCs w:val="24"/>
        </w:rPr>
        <w:t>potvrdu o upisu u Imenik inženjera gradilišta ili Imenik voditelja radova odgovarajuće Komore.</w:t>
      </w:r>
    </w:p>
    <w:p w14:paraId="4962DFD4" w14:textId="77777777" w:rsidR="00FB4901" w:rsidRPr="00FB4901" w:rsidRDefault="00FB4901" w:rsidP="00FB4901">
      <w:pPr>
        <w:jc w:val="both"/>
      </w:pPr>
    </w:p>
    <w:p w14:paraId="48610682" w14:textId="77777777" w:rsidR="002864E4" w:rsidRPr="002864E4" w:rsidRDefault="002864E4" w:rsidP="002864E4">
      <w:pPr>
        <w:jc w:val="both"/>
        <w:rPr>
          <w:b/>
          <w:bCs/>
        </w:rPr>
      </w:pPr>
      <w:r w:rsidRPr="002864E4">
        <w:rPr>
          <w:b/>
          <w:bCs/>
        </w:rPr>
        <w:t xml:space="preserve">Traženi dokazi dostavljaju se </w:t>
      </w:r>
      <w:r w:rsidRPr="002864E4">
        <w:rPr>
          <w:b/>
          <w:bCs/>
          <w:u w:val="single"/>
        </w:rPr>
        <w:t>za svakog nominiranog stručnjaka</w:t>
      </w:r>
      <w:r w:rsidRPr="002864E4">
        <w:rPr>
          <w:b/>
          <w:bCs/>
        </w:rPr>
        <w:t>.</w:t>
      </w:r>
    </w:p>
    <w:p w14:paraId="3027EA72" w14:textId="77777777" w:rsidR="002864E4" w:rsidRDefault="002864E4" w:rsidP="007449F8">
      <w:pPr>
        <w:jc w:val="both"/>
      </w:pPr>
    </w:p>
    <w:p w14:paraId="62473470" w14:textId="4D43768D" w:rsidR="00FB4901" w:rsidRDefault="002864E4" w:rsidP="007449F8">
      <w:pPr>
        <w:jc w:val="both"/>
      </w:pPr>
      <w:r>
        <w:t xml:space="preserve">Svi stručnjaci nominirani u ponudi temeljem odredaba ove točke </w:t>
      </w:r>
      <w:r w:rsidR="00FB4901" w:rsidRPr="00FB4901">
        <w:t>moraju zaista i sudjelovati kao stručnjaci u provedbi ugovora o nabavi, za vrijeme cjelokupnog trajanja istog.</w:t>
      </w:r>
    </w:p>
    <w:p w14:paraId="5ABECC44" w14:textId="77777777" w:rsidR="00FB4901" w:rsidRDefault="00FB4901" w:rsidP="007449F8">
      <w:pPr>
        <w:jc w:val="both"/>
      </w:pPr>
    </w:p>
    <w:p w14:paraId="2F46AA15" w14:textId="2F138273" w:rsidR="00FB4901" w:rsidRDefault="00FB4901" w:rsidP="007449F8">
      <w:pPr>
        <w:jc w:val="both"/>
      </w:pPr>
      <w:r w:rsidRPr="00FB4901">
        <w:t xml:space="preserve">Ukoliko </w:t>
      </w:r>
      <w:r w:rsidR="002864E4">
        <w:t>ponuditelj</w:t>
      </w:r>
      <w:r w:rsidRPr="00FB4901">
        <w:t xml:space="preserve"> neće imati na raspolaganju </w:t>
      </w:r>
      <w:r w:rsidR="002864E4">
        <w:t xml:space="preserve">nekog od </w:t>
      </w:r>
      <w:r w:rsidRPr="00FB4901">
        <w:t>stručnjaka koje je naveo u ponudi, može odrediti drugog stručnjaka za sudjelovanje u realizaciji ugovora, pod uvjetom da zamjenski stručnjak posjeduje minimalne obrazovne i stručne kvalifikacije propisane ovom točkom. Gospodarski subjekt je prije angažmana zamjenskog stručnjaka dužan prethodno obavijestiti Naručitelja i ishoditi njegovu suglasnost na zamjenu, kao i dostaviti potrebne dokaze o zadovoljavanju minimalnih obrazovnih i stručnih kvalifikacija od strane zamjenskog stručnjaka. Ukoliko predloženi zamjenski stručnjak ne zadovoljava propisane uvjete, gospodarski subjekt je dužan predložiti drugu osobu.</w:t>
      </w:r>
    </w:p>
    <w:p w14:paraId="5BA0D4C7" w14:textId="77777777" w:rsidR="00FB4901" w:rsidRPr="00DC3CC0" w:rsidRDefault="00FB4901" w:rsidP="007449F8">
      <w:pPr>
        <w:jc w:val="both"/>
      </w:pPr>
    </w:p>
    <w:p w14:paraId="2876283D" w14:textId="77777777" w:rsidR="007449F8" w:rsidRDefault="007449F8" w:rsidP="007449F8">
      <w:pPr>
        <w:pStyle w:val="ListParagraph"/>
        <w:tabs>
          <w:tab w:val="left" w:pos="0"/>
        </w:tabs>
        <w:ind w:left="0"/>
        <w:jc w:val="both"/>
        <w:rPr>
          <w:b/>
          <w:bCs/>
          <w:sz w:val="24"/>
          <w:szCs w:val="24"/>
        </w:rPr>
      </w:pPr>
    </w:p>
    <w:p w14:paraId="431EC112" w14:textId="77777777" w:rsidR="002864E4" w:rsidRDefault="002864E4" w:rsidP="007449F8">
      <w:pPr>
        <w:pStyle w:val="ListParagraph"/>
        <w:tabs>
          <w:tab w:val="left" w:pos="0"/>
        </w:tabs>
        <w:ind w:left="0"/>
        <w:jc w:val="both"/>
        <w:rPr>
          <w:b/>
          <w:bCs/>
          <w:sz w:val="24"/>
          <w:szCs w:val="24"/>
        </w:rPr>
      </w:pPr>
    </w:p>
    <w:p w14:paraId="24F5225F" w14:textId="77777777" w:rsidR="002864E4" w:rsidRPr="00DC3CC0" w:rsidRDefault="002864E4" w:rsidP="007449F8">
      <w:pPr>
        <w:pStyle w:val="ListParagraph"/>
        <w:tabs>
          <w:tab w:val="left" w:pos="0"/>
        </w:tabs>
        <w:ind w:left="0"/>
        <w:jc w:val="both"/>
        <w:rPr>
          <w:b/>
          <w:bCs/>
          <w:sz w:val="24"/>
          <w:szCs w:val="24"/>
        </w:rPr>
      </w:pPr>
    </w:p>
    <w:p w14:paraId="57F27E48" w14:textId="1EB12028" w:rsidR="007449F8" w:rsidRPr="00DC3CC0" w:rsidRDefault="007449F8" w:rsidP="007449F8">
      <w:pPr>
        <w:pStyle w:val="ListParagraph"/>
        <w:numPr>
          <w:ilvl w:val="1"/>
          <w:numId w:val="27"/>
        </w:numPr>
        <w:tabs>
          <w:tab w:val="left" w:pos="0"/>
        </w:tabs>
        <w:ind w:left="0" w:firstLine="0"/>
        <w:jc w:val="both"/>
        <w:rPr>
          <w:b/>
          <w:bCs/>
          <w:sz w:val="24"/>
          <w:szCs w:val="24"/>
        </w:rPr>
      </w:pPr>
      <w:r w:rsidRPr="00DC3CC0">
        <w:rPr>
          <w:b/>
          <w:bCs/>
          <w:sz w:val="24"/>
          <w:szCs w:val="24"/>
        </w:rPr>
        <w:lastRenderedPageBreak/>
        <w:t xml:space="preserve">Ovjereno jamstvo proizvođača ponuđene </w:t>
      </w:r>
      <w:r>
        <w:rPr>
          <w:b/>
          <w:bCs/>
          <w:sz w:val="24"/>
          <w:szCs w:val="24"/>
        </w:rPr>
        <w:t>opreme</w:t>
      </w:r>
    </w:p>
    <w:p w14:paraId="0CE36CFF" w14:textId="752ED21B" w:rsidR="007449F8" w:rsidRPr="00DC3CC0" w:rsidRDefault="007449F8" w:rsidP="007449F8">
      <w:pPr>
        <w:pStyle w:val="ListParagraph"/>
        <w:tabs>
          <w:tab w:val="left" w:pos="0"/>
        </w:tabs>
        <w:ind w:left="0"/>
        <w:jc w:val="both"/>
        <w:rPr>
          <w:bCs/>
          <w:sz w:val="24"/>
          <w:szCs w:val="24"/>
        </w:rPr>
      </w:pPr>
      <w:r w:rsidRPr="00DC3CC0">
        <w:rPr>
          <w:bCs/>
          <w:sz w:val="24"/>
          <w:szCs w:val="24"/>
        </w:rPr>
        <w:t xml:space="preserve">Ponuditelj je dužan za ponuđenu </w:t>
      </w:r>
      <w:r>
        <w:rPr>
          <w:bCs/>
          <w:sz w:val="24"/>
          <w:szCs w:val="24"/>
        </w:rPr>
        <w:t>opremu</w:t>
      </w:r>
      <w:r w:rsidRPr="00DC3CC0">
        <w:rPr>
          <w:bCs/>
          <w:sz w:val="24"/>
          <w:szCs w:val="24"/>
        </w:rPr>
        <w:t xml:space="preserve"> iz stavaka </w:t>
      </w:r>
      <w:r w:rsidRPr="00391305">
        <w:rPr>
          <w:sz w:val="24"/>
          <w:szCs w:val="24"/>
        </w:rPr>
        <w:t xml:space="preserve">2. - </w:t>
      </w:r>
      <w:r w:rsidR="00391305">
        <w:rPr>
          <w:sz w:val="24"/>
          <w:szCs w:val="24"/>
        </w:rPr>
        <w:t>13</w:t>
      </w:r>
      <w:r w:rsidRPr="00391305">
        <w:rPr>
          <w:sz w:val="24"/>
          <w:szCs w:val="24"/>
        </w:rPr>
        <w:t>.</w:t>
      </w:r>
      <w:r w:rsidRPr="00DC3CC0">
        <w:rPr>
          <w:sz w:val="24"/>
          <w:szCs w:val="24"/>
        </w:rPr>
        <w:t xml:space="preserve"> Troškovnika </w:t>
      </w:r>
      <w:r w:rsidRPr="00DC3CC0">
        <w:rPr>
          <w:bCs/>
          <w:sz w:val="24"/>
          <w:szCs w:val="24"/>
        </w:rPr>
        <w:t xml:space="preserve">ishoditi </w:t>
      </w:r>
      <w:r w:rsidRPr="008634FA">
        <w:rPr>
          <w:b/>
          <w:sz w:val="24"/>
          <w:szCs w:val="24"/>
        </w:rPr>
        <w:t xml:space="preserve">ovjerene jamstvene listove proizvođača s jamstvenim rokom u minimalnom trajanju od </w:t>
      </w:r>
      <w:r w:rsidR="008634FA" w:rsidRPr="008634FA">
        <w:rPr>
          <w:b/>
          <w:sz w:val="24"/>
          <w:szCs w:val="24"/>
        </w:rPr>
        <w:t>10 (deset)</w:t>
      </w:r>
      <w:r w:rsidRPr="008634FA">
        <w:rPr>
          <w:b/>
          <w:sz w:val="24"/>
          <w:szCs w:val="24"/>
        </w:rPr>
        <w:t xml:space="preserve"> godina</w:t>
      </w:r>
      <w:r w:rsidR="008634FA" w:rsidRPr="008634FA">
        <w:rPr>
          <w:b/>
          <w:sz w:val="24"/>
          <w:szCs w:val="24"/>
        </w:rPr>
        <w:t>, naslovljenim na Naručitelja</w:t>
      </w:r>
      <w:r w:rsidRPr="008634FA">
        <w:rPr>
          <w:b/>
          <w:sz w:val="24"/>
          <w:szCs w:val="24"/>
        </w:rPr>
        <w:t>.</w:t>
      </w:r>
      <w:r w:rsidRPr="00DC3CC0">
        <w:rPr>
          <w:bCs/>
          <w:sz w:val="24"/>
          <w:szCs w:val="24"/>
        </w:rPr>
        <w:t xml:space="preserve"> </w:t>
      </w:r>
      <w:r>
        <w:rPr>
          <w:bCs/>
          <w:sz w:val="24"/>
          <w:szCs w:val="24"/>
        </w:rPr>
        <w:t xml:space="preserve">Dostava jamstva </w:t>
      </w:r>
      <w:r w:rsidRPr="00DC3CC0">
        <w:rPr>
          <w:bCs/>
          <w:sz w:val="24"/>
          <w:szCs w:val="24"/>
        </w:rPr>
        <w:t xml:space="preserve">proizvođača </w:t>
      </w:r>
      <w:r>
        <w:rPr>
          <w:bCs/>
          <w:sz w:val="24"/>
          <w:szCs w:val="24"/>
        </w:rPr>
        <w:t>opreme ne utječe na obvezu ponuditelja</w:t>
      </w:r>
      <w:r w:rsidRPr="00DC3CC0">
        <w:rPr>
          <w:bCs/>
          <w:sz w:val="24"/>
          <w:szCs w:val="24"/>
        </w:rPr>
        <w:t xml:space="preserve"> </w:t>
      </w:r>
      <w:r w:rsidRPr="00DC3CC0">
        <w:rPr>
          <w:rFonts w:eastAsiaTheme="minorEastAsia"/>
          <w:sz w:val="24"/>
          <w:szCs w:val="24"/>
          <w:lang w:eastAsia="zh-CN"/>
        </w:rPr>
        <w:t>za otklanjanje svih nedostataka na izvedenim radovima, ugrađenoj opremi i ugrađenim materijalima</w:t>
      </w:r>
      <w:r w:rsidRPr="00DC3CC0">
        <w:rPr>
          <w:bCs/>
          <w:sz w:val="24"/>
          <w:szCs w:val="24"/>
        </w:rPr>
        <w:t xml:space="preserve"> </w:t>
      </w:r>
      <w:r w:rsidRPr="00DC3CC0">
        <w:rPr>
          <w:rFonts w:eastAsiaTheme="minorEastAsia"/>
          <w:sz w:val="24"/>
          <w:szCs w:val="24"/>
          <w:lang w:eastAsia="zh-CN"/>
        </w:rPr>
        <w:t>u jamstvenom roku</w:t>
      </w:r>
      <w:r>
        <w:rPr>
          <w:rFonts w:eastAsiaTheme="minorEastAsia"/>
          <w:sz w:val="24"/>
          <w:szCs w:val="24"/>
          <w:lang w:eastAsia="zh-CN"/>
        </w:rPr>
        <w:t xml:space="preserve"> iz točke 21. ovog Poziva</w:t>
      </w:r>
      <w:r w:rsidRPr="00DC3CC0">
        <w:rPr>
          <w:bCs/>
          <w:sz w:val="24"/>
          <w:szCs w:val="24"/>
        </w:rPr>
        <w:t>.</w:t>
      </w:r>
    </w:p>
    <w:p w14:paraId="755A6E03" w14:textId="77777777" w:rsidR="007449F8" w:rsidRDefault="007449F8" w:rsidP="007449F8">
      <w:pPr>
        <w:pStyle w:val="ListParagraph"/>
        <w:tabs>
          <w:tab w:val="left" w:pos="0"/>
        </w:tabs>
        <w:ind w:left="0"/>
        <w:jc w:val="both"/>
        <w:rPr>
          <w:b/>
          <w:bCs/>
          <w:sz w:val="24"/>
          <w:szCs w:val="24"/>
        </w:rPr>
      </w:pPr>
    </w:p>
    <w:p w14:paraId="214F586F" w14:textId="104D0235"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438007"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r w:rsidR="008634FA" w:rsidRPr="00DC3CC0">
        <w:t xml:space="preserve">Izuzetak od navedenog </w:t>
      </w:r>
      <w:r w:rsidR="001F1B75">
        <w:t>je dokumentacija koju ponuditelji prilažu ponudi temeljem uvjeta propisanih točkama 13.5. i 13.6. ovog Poziva</w:t>
      </w:r>
      <w:r w:rsidR="008634FA" w:rsidRPr="00DC3CC0">
        <w:t>, koja može biti na engleskom jeziku te je nije potrebno prevoditi.</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lastRenderedPageBreak/>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9A5862A" w:rsidR="0013210C" w:rsidRPr="00BC29C4" w:rsidRDefault="0013210C" w:rsidP="005B1B4C">
            <w:pPr>
              <w:jc w:val="center"/>
              <w:rPr>
                <w:b/>
                <w:bCs/>
                <w:color w:val="000000"/>
              </w:rPr>
            </w:pPr>
            <w:r w:rsidRPr="00BC29C4">
              <w:rPr>
                <w:b/>
                <w:bCs/>
                <w:color w:val="000000"/>
              </w:rPr>
              <w:t xml:space="preserve">Predmet nabave: </w:t>
            </w:r>
            <w:r w:rsidR="00B01643" w:rsidRPr="00B01643">
              <w:rPr>
                <w:b/>
              </w:rPr>
              <w:t>Radovi na modernizaciji javne rasvjete LED tehnologijom - II. faza</w:t>
            </w:r>
          </w:p>
          <w:p w14:paraId="2A78CFDA" w14:textId="652B3867"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B01643">
              <w:rPr>
                <w:b/>
                <w:bCs/>
                <w:color w:val="000000"/>
              </w:rPr>
              <w:t>40/24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p w14:paraId="7D6FC47A" w14:textId="43D17A46" w:rsidR="00664A58" w:rsidRDefault="00664A58" w:rsidP="00CF5ADC">
      <w:pPr>
        <w:jc w:val="both"/>
        <w:rPr>
          <w:color w:val="000000"/>
        </w:rPr>
      </w:pPr>
    </w:p>
    <w:p w14:paraId="46BE041D" w14:textId="77777777" w:rsidR="001F1B75" w:rsidRPr="00DC3CC0" w:rsidRDefault="001F1B75" w:rsidP="001F1B75">
      <w:pPr>
        <w:jc w:val="both"/>
        <w:rPr>
          <w:color w:val="000000"/>
          <w:u w:val="single"/>
        </w:rPr>
      </w:pPr>
      <w:r w:rsidRPr="00DC3CC0">
        <w:rPr>
          <w:b/>
          <w:bCs/>
          <w:color w:val="000000"/>
          <w:u w:val="single"/>
        </w:rPr>
        <w:t xml:space="preserve">Osim dostave u materijalnom (papirnatom) obliku, ponuditelj je dužan izvornik ponude skenirati i pohraniti u .pdf formatu te ga dostaviti Naručitelju na istom mediju kao i dokaze iz točke </w:t>
      </w:r>
      <w:r w:rsidRPr="00DC3CC0">
        <w:rPr>
          <w:b/>
          <w:bCs/>
          <w:u w:val="single"/>
        </w:rPr>
        <w:t>13.6. ovog Poziva</w:t>
      </w:r>
      <w:r w:rsidRPr="00DC3CC0">
        <w:rPr>
          <w:b/>
          <w:bCs/>
          <w:color w:val="000000"/>
          <w:u w:val="single"/>
        </w:rPr>
        <w:t>.</w:t>
      </w:r>
      <w:r w:rsidRPr="00DC3CC0">
        <w:rPr>
          <w:color w:val="000000"/>
          <w:u w:val="single"/>
        </w:rPr>
        <w:t xml:space="preserve"> </w:t>
      </w:r>
    </w:p>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Pr="00826B5B" w:rsidRDefault="00E76EE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46BB770A" w14:textId="77777777" w:rsidR="001F1B75" w:rsidRPr="00DC3CC0" w:rsidRDefault="001F1B75" w:rsidP="001F1B75">
      <w:pPr>
        <w:jc w:val="both"/>
        <w:rPr>
          <w:color w:val="000000"/>
        </w:rPr>
      </w:pPr>
      <w:r w:rsidRPr="00DC3CC0">
        <w:rPr>
          <w:color w:val="000000"/>
        </w:rPr>
        <w:t>Kriterij odabira ponude je ekonomski najpovoljnija ponuda (ENP).</w:t>
      </w:r>
    </w:p>
    <w:p w14:paraId="20D28B1C" w14:textId="77777777" w:rsidR="001F1B75" w:rsidRPr="00DC3CC0" w:rsidRDefault="001F1B75" w:rsidP="001F1B75">
      <w:pPr>
        <w:jc w:val="both"/>
        <w:rPr>
          <w:color w:val="000000"/>
        </w:rPr>
      </w:pPr>
    </w:p>
    <w:p w14:paraId="482F67CB" w14:textId="77777777" w:rsidR="001F1B75" w:rsidRPr="00DC3CC0" w:rsidRDefault="001F1B75" w:rsidP="001F1B75">
      <w:pPr>
        <w:jc w:val="both"/>
        <w:rPr>
          <w:color w:val="000000"/>
        </w:rPr>
      </w:pPr>
      <w:r w:rsidRPr="00DC3CC0">
        <w:rPr>
          <w:color w:val="000000"/>
        </w:rPr>
        <w:t>Ekonomski najpovoljnija ponuda (ENP) je valjana ponuda ponuditelja koja, uz kriterije za kvalitativni odabir gospodarskog subjekta, kao i ispunjavanje ostalih uvjeta iz ovog Poziva i priložene dokumentacije, ostvari najveći broj bodova (zbroj bodova po oba kriterija).</w:t>
      </w:r>
    </w:p>
    <w:p w14:paraId="5DADC08B" w14:textId="77777777" w:rsidR="001F1B75" w:rsidRPr="00DC3CC0" w:rsidRDefault="001F1B75" w:rsidP="001F1B75">
      <w:pPr>
        <w:jc w:val="both"/>
        <w:rPr>
          <w:color w:val="000000"/>
        </w:rPr>
      </w:pPr>
    </w:p>
    <w:p w14:paraId="6DC0809D" w14:textId="77777777" w:rsidR="001F1B75" w:rsidRPr="00DC3CC0" w:rsidRDefault="001F1B75" w:rsidP="001F1B75">
      <w:pPr>
        <w:jc w:val="both"/>
        <w:rPr>
          <w:color w:val="000000"/>
        </w:rPr>
      </w:pPr>
      <w:r w:rsidRPr="00DC3CC0">
        <w:rPr>
          <w:color w:val="000000"/>
        </w:rPr>
        <w:t>Kriteriji za odabir ekonomski najpovoljnije ponude i njihov relativan značaj:</w:t>
      </w:r>
    </w:p>
    <w:tbl>
      <w:tblPr>
        <w:tblStyle w:val="TableGrid"/>
        <w:tblW w:w="0" w:type="auto"/>
        <w:jc w:val="center"/>
        <w:tblLook w:val="04A0" w:firstRow="1" w:lastRow="0" w:firstColumn="1" w:lastColumn="0" w:noHBand="0" w:noVBand="1"/>
      </w:tblPr>
      <w:tblGrid>
        <w:gridCol w:w="1896"/>
        <w:gridCol w:w="3864"/>
        <w:gridCol w:w="1504"/>
        <w:gridCol w:w="1799"/>
      </w:tblGrid>
      <w:tr w:rsidR="001F1B75" w:rsidRPr="00DC3CC0" w14:paraId="260DA847" w14:textId="77777777" w:rsidTr="00DE423B">
        <w:trPr>
          <w:jc w:val="center"/>
        </w:trPr>
        <w:tc>
          <w:tcPr>
            <w:tcW w:w="19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130B5D" w14:textId="77777777" w:rsidR="001F1B75" w:rsidRPr="00DC3CC0" w:rsidRDefault="001F1B75" w:rsidP="00DE423B">
            <w:pPr>
              <w:jc w:val="center"/>
              <w:rPr>
                <w:b/>
                <w:bCs/>
                <w:color w:val="000000"/>
              </w:rPr>
            </w:pPr>
            <w:r w:rsidRPr="00DC3CC0">
              <w:rPr>
                <w:b/>
                <w:bCs/>
                <w:color w:val="000000"/>
              </w:rPr>
              <w:t>Oznaka kriterija</w:t>
            </w:r>
          </w:p>
        </w:tc>
        <w:tc>
          <w:tcPr>
            <w:tcW w:w="41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A799DF" w14:textId="77777777" w:rsidR="001F1B75" w:rsidRPr="00DC3CC0" w:rsidRDefault="001F1B75" w:rsidP="00DE423B">
            <w:pPr>
              <w:jc w:val="center"/>
              <w:rPr>
                <w:b/>
                <w:bCs/>
                <w:color w:val="000000"/>
              </w:rPr>
            </w:pPr>
            <w:r w:rsidRPr="00DC3CC0">
              <w:rPr>
                <w:b/>
                <w:bCs/>
                <w:color w:val="000000"/>
              </w:rPr>
              <w:t>Kriterij</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C6C47E" w14:textId="77777777" w:rsidR="001F1B75" w:rsidRPr="00DC3CC0" w:rsidRDefault="001F1B75" w:rsidP="00DE423B">
            <w:pPr>
              <w:jc w:val="center"/>
              <w:rPr>
                <w:b/>
                <w:bCs/>
                <w:color w:val="000000"/>
              </w:rPr>
            </w:pPr>
            <w:r w:rsidRPr="00DC3CC0">
              <w:rPr>
                <w:b/>
                <w:bCs/>
                <w:color w:val="000000"/>
              </w:rPr>
              <w:t>Broj bodova</w:t>
            </w:r>
          </w:p>
        </w:tc>
        <w:tc>
          <w:tcPr>
            <w:tcW w:w="18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6D16B9" w14:textId="77777777" w:rsidR="001F1B75" w:rsidRPr="00DC3CC0" w:rsidRDefault="001F1B75" w:rsidP="00DE423B">
            <w:pPr>
              <w:jc w:val="center"/>
              <w:rPr>
                <w:b/>
                <w:bCs/>
                <w:color w:val="000000"/>
              </w:rPr>
            </w:pPr>
            <w:r w:rsidRPr="00DC3CC0">
              <w:rPr>
                <w:b/>
                <w:bCs/>
                <w:color w:val="000000"/>
              </w:rPr>
              <w:t>Relativni značaj</w:t>
            </w:r>
          </w:p>
        </w:tc>
      </w:tr>
      <w:tr w:rsidR="001F1B75" w:rsidRPr="00DC3CC0" w14:paraId="4AB37C00" w14:textId="77777777" w:rsidTr="00DE423B">
        <w:trPr>
          <w:jc w:val="center"/>
        </w:trPr>
        <w:tc>
          <w:tcPr>
            <w:tcW w:w="1980" w:type="dxa"/>
            <w:tcBorders>
              <w:top w:val="single" w:sz="4" w:space="0" w:color="auto"/>
              <w:left w:val="single" w:sz="4" w:space="0" w:color="auto"/>
              <w:bottom w:val="single" w:sz="4" w:space="0" w:color="auto"/>
              <w:right w:val="single" w:sz="4" w:space="0" w:color="auto"/>
            </w:tcBorders>
            <w:hideMark/>
          </w:tcPr>
          <w:p w14:paraId="74FD62F0" w14:textId="77777777" w:rsidR="001F1B75" w:rsidRPr="00DC3CC0" w:rsidRDefault="001F1B75" w:rsidP="00DE423B">
            <w:pPr>
              <w:jc w:val="center"/>
              <w:rPr>
                <w:color w:val="000000"/>
              </w:rPr>
            </w:pPr>
            <w:r w:rsidRPr="00DC3CC0">
              <w:rPr>
                <w:color w:val="000000"/>
              </w:rPr>
              <w:t>K1</w:t>
            </w:r>
          </w:p>
        </w:tc>
        <w:tc>
          <w:tcPr>
            <w:tcW w:w="4111" w:type="dxa"/>
            <w:tcBorders>
              <w:top w:val="single" w:sz="4" w:space="0" w:color="auto"/>
              <w:left w:val="single" w:sz="4" w:space="0" w:color="auto"/>
              <w:bottom w:val="single" w:sz="4" w:space="0" w:color="auto"/>
              <w:right w:val="single" w:sz="4" w:space="0" w:color="auto"/>
            </w:tcBorders>
            <w:hideMark/>
          </w:tcPr>
          <w:p w14:paraId="37C98567" w14:textId="77777777" w:rsidR="001F1B75" w:rsidRPr="00DC3CC0" w:rsidRDefault="001F1B75" w:rsidP="00DE423B">
            <w:pPr>
              <w:jc w:val="center"/>
              <w:rPr>
                <w:color w:val="000000"/>
              </w:rPr>
            </w:pPr>
            <w:r w:rsidRPr="00DC3CC0">
              <w:rPr>
                <w:color w:val="000000"/>
              </w:rPr>
              <w:t>Cijena ponude</w:t>
            </w:r>
          </w:p>
        </w:tc>
        <w:tc>
          <w:tcPr>
            <w:tcW w:w="1559" w:type="dxa"/>
            <w:tcBorders>
              <w:top w:val="single" w:sz="4" w:space="0" w:color="auto"/>
              <w:left w:val="single" w:sz="4" w:space="0" w:color="auto"/>
              <w:bottom w:val="single" w:sz="4" w:space="0" w:color="auto"/>
              <w:right w:val="single" w:sz="4" w:space="0" w:color="auto"/>
            </w:tcBorders>
            <w:hideMark/>
          </w:tcPr>
          <w:p w14:paraId="490F8FC4" w14:textId="77777777" w:rsidR="001F1B75" w:rsidRPr="00DC3CC0" w:rsidRDefault="001F1B75" w:rsidP="00DE423B">
            <w:pPr>
              <w:jc w:val="center"/>
              <w:rPr>
                <w:color w:val="000000"/>
              </w:rPr>
            </w:pPr>
            <w:r w:rsidRPr="00DC3CC0">
              <w:rPr>
                <w:color w:val="000000"/>
              </w:rPr>
              <w:t>85,00</w:t>
            </w:r>
          </w:p>
        </w:tc>
        <w:tc>
          <w:tcPr>
            <w:tcW w:w="1865" w:type="dxa"/>
            <w:tcBorders>
              <w:top w:val="single" w:sz="4" w:space="0" w:color="auto"/>
              <w:left w:val="single" w:sz="4" w:space="0" w:color="auto"/>
              <w:bottom w:val="single" w:sz="4" w:space="0" w:color="auto"/>
              <w:right w:val="single" w:sz="4" w:space="0" w:color="auto"/>
            </w:tcBorders>
            <w:hideMark/>
          </w:tcPr>
          <w:p w14:paraId="750B39C0" w14:textId="77777777" w:rsidR="001F1B75" w:rsidRPr="00DC3CC0" w:rsidRDefault="001F1B75" w:rsidP="00DE423B">
            <w:pPr>
              <w:jc w:val="center"/>
              <w:rPr>
                <w:color w:val="000000"/>
              </w:rPr>
            </w:pPr>
            <w:r w:rsidRPr="00DC3CC0">
              <w:rPr>
                <w:color w:val="000000"/>
              </w:rPr>
              <w:t>85,00%</w:t>
            </w:r>
          </w:p>
        </w:tc>
      </w:tr>
      <w:tr w:rsidR="001F1B75" w:rsidRPr="00DC3CC0" w14:paraId="55E078F4" w14:textId="77777777" w:rsidTr="00DE423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2A8F293" w14:textId="77777777" w:rsidR="001F1B75" w:rsidRPr="00DC3CC0" w:rsidRDefault="001F1B75" w:rsidP="00DE423B">
            <w:pPr>
              <w:jc w:val="center"/>
              <w:rPr>
                <w:color w:val="000000"/>
              </w:rPr>
            </w:pPr>
            <w:r w:rsidRPr="00DC3CC0">
              <w:rPr>
                <w:color w:val="000000"/>
              </w:rPr>
              <w:t>K2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66EE4CC" w14:textId="77777777" w:rsidR="001F1B75" w:rsidRPr="00DC3CC0" w:rsidRDefault="001F1B75" w:rsidP="00DE423B">
            <w:pPr>
              <w:jc w:val="center"/>
              <w:rPr>
                <w:color w:val="000000"/>
              </w:rPr>
            </w:pPr>
            <w:r w:rsidRPr="00E42CCA">
              <w:t>Instalirana snaga nove rasvjete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4C0F18" w14:textId="77777777" w:rsidR="001F1B75" w:rsidRPr="00DC3CC0" w:rsidRDefault="001F1B75" w:rsidP="00DE423B">
            <w:pPr>
              <w:jc w:val="center"/>
              <w:rPr>
                <w:color w:val="000000"/>
              </w:rPr>
            </w:pPr>
            <w:r w:rsidRPr="00DC3CC0">
              <w:rPr>
                <w:color w:val="000000"/>
              </w:rPr>
              <w:t>15,00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BEBF344" w14:textId="77777777" w:rsidR="001F1B75" w:rsidRPr="00DC3CC0" w:rsidRDefault="001F1B75" w:rsidP="00DE423B">
            <w:pPr>
              <w:jc w:val="center"/>
              <w:rPr>
                <w:color w:val="000000"/>
              </w:rPr>
            </w:pPr>
            <w:r w:rsidRPr="00DC3CC0">
              <w:rPr>
                <w:color w:val="000000"/>
              </w:rPr>
              <w:t>15,00%</w:t>
            </w:r>
          </w:p>
        </w:tc>
      </w:tr>
      <w:tr w:rsidR="001F1B75" w:rsidRPr="00DC3CC0" w14:paraId="1A21E259" w14:textId="77777777" w:rsidTr="00DE423B">
        <w:trPr>
          <w:jc w:val="center"/>
        </w:trPr>
        <w:tc>
          <w:tcPr>
            <w:tcW w:w="1980" w:type="dxa"/>
            <w:tcBorders>
              <w:top w:val="single" w:sz="4" w:space="0" w:color="auto"/>
              <w:left w:val="single" w:sz="4" w:space="0" w:color="auto"/>
              <w:bottom w:val="single" w:sz="4" w:space="0" w:color="auto"/>
              <w:right w:val="single" w:sz="4" w:space="0" w:color="auto"/>
            </w:tcBorders>
          </w:tcPr>
          <w:p w14:paraId="1F8D0F38" w14:textId="77777777" w:rsidR="001F1B75" w:rsidRPr="00DC3CC0" w:rsidRDefault="001F1B75" w:rsidP="00DE423B">
            <w:pPr>
              <w:jc w:val="center"/>
              <w:rPr>
                <w:b/>
                <w:bCs/>
                <w:color w:val="000000"/>
              </w:rPr>
            </w:pPr>
          </w:p>
        </w:tc>
        <w:tc>
          <w:tcPr>
            <w:tcW w:w="4111" w:type="dxa"/>
            <w:tcBorders>
              <w:top w:val="single" w:sz="4" w:space="0" w:color="auto"/>
              <w:left w:val="single" w:sz="4" w:space="0" w:color="auto"/>
              <w:bottom w:val="single" w:sz="4" w:space="0" w:color="auto"/>
              <w:right w:val="single" w:sz="4" w:space="0" w:color="auto"/>
            </w:tcBorders>
            <w:hideMark/>
          </w:tcPr>
          <w:p w14:paraId="018DA460" w14:textId="77777777" w:rsidR="001F1B75" w:rsidRPr="00DC3CC0" w:rsidRDefault="001F1B75" w:rsidP="00DE423B">
            <w:pPr>
              <w:jc w:val="center"/>
              <w:rPr>
                <w:b/>
                <w:bCs/>
                <w:color w:val="000000"/>
              </w:rPr>
            </w:pPr>
            <w:r w:rsidRPr="00DC3CC0">
              <w:rPr>
                <w:b/>
                <w:bCs/>
                <w:color w:val="000000"/>
              </w:rPr>
              <w:t>Maksimalni broj bodova</w:t>
            </w:r>
          </w:p>
        </w:tc>
        <w:tc>
          <w:tcPr>
            <w:tcW w:w="1559" w:type="dxa"/>
            <w:tcBorders>
              <w:top w:val="single" w:sz="4" w:space="0" w:color="auto"/>
              <w:left w:val="single" w:sz="4" w:space="0" w:color="auto"/>
              <w:bottom w:val="single" w:sz="4" w:space="0" w:color="auto"/>
              <w:right w:val="single" w:sz="4" w:space="0" w:color="auto"/>
            </w:tcBorders>
            <w:hideMark/>
          </w:tcPr>
          <w:p w14:paraId="31E79FDD" w14:textId="77777777" w:rsidR="001F1B75" w:rsidRPr="00DC3CC0" w:rsidRDefault="001F1B75" w:rsidP="00DE423B">
            <w:pPr>
              <w:jc w:val="center"/>
              <w:rPr>
                <w:b/>
                <w:bCs/>
                <w:color w:val="000000"/>
              </w:rPr>
            </w:pPr>
            <w:r w:rsidRPr="00DC3CC0">
              <w:rPr>
                <w:b/>
                <w:bCs/>
                <w:color w:val="000000"/>
              </w:rPr>
              <w:t>100,00</w:t>
            </w:r>
          </w:p>
        </w:tc>
        <w:tc>
          <w:tcPr>
            <w:tcW w:w="1865" w:type="dxa"/>
            <w:tcBorders>
              <w:top w:val="single" w:sz="4" w:space="0" w:color="auto"/>
              <w:left w:val="single" w:sz="4" w:space="0" w:color="auto"/>
              <w:bottom w:val="single" w:sz="4" w:space="0" w:color="auto"/>
              <w:right w:val="single" w:sz="4" w:space="0" w:color="auto"/>
            </w:tcBorders>
            <w:hideMark/>
          </w:tcPr>
          <w:p w14:paraId="1DECA27A" w14:textId="77777777" w:rsidR="001F1B75" w:rsidRPr="00DC3CC0" w:rsidRDefault="001F1B75" w:rsidP="00DE423B">
            <w:pPr>
              <w:jc w:val="center"/>
              <w:rPr>
                <w:b/>
                <w:bCs/>
                <w:color w:val="000000"/>
              </w:rPr>
            </w:pPr>
            <w:r w:rsidRPr="00DC3CC0">
              <w:rPr>
                <w:b/>
                <w:bCs/>
                <w:color w:val="000000"/>
              </w:rPr>
              <w:t>100,00%</w:t>
            </w:r>
          </w:p>
        </w:tc>
      </w:tr>
    </w:tbl>
    <w:p w14:paraId="20F53F1F" w14:textId="77777777" w:rsidR="001F1B75" w:rsidRPr="00DC3CC0" w:rsidRDefault="001F1B75" w:rsidP="001F1B75">
      <w:pPr>
        <w:jc w:val="both"/>
        <w:rPr>
          <w:color w:val="000000"/>
        </w:rPr>
      </w:pPr>
    </w:p>
    <w:p w14:paraId="7B834EBA" w14:textId="77777777" w:rsidR="001F1B75" w:rsidRPr="00DC3CC0" w:rsidRDefault="001F1B75" w:rsidP="001F1B75">
      <w:pPr>
        <w:jc w:val="both"/>
        <w:rPr>
          <w:b/>
          <w:bCs/>
          <w:color w:val="000000"/>
        </w:rPr>
      </w:pPr>
      <w:r w:rsidRPr="00DC3CC0">
        <w:rPr>
          <w:b/>
          <w:bCs/>
          <w:color w:val="000000"/>
        </w:rPr>
        <w:t>Postupak ocjene kriterija „Cijena ponude“ (K1):</w:t>
      </w:r>
    </w:p>
    <w:p w14:paraId="7770428B" w14:textId="77777777" w:rsidR="001F1B75" w:rsidRPr="00DC3CC0" w:rsidRDefault="001F1B75" w:rsidP="001F1B75">
      <w:pPr>
        <w:jc w:val="both"/>
        <w:rPr>
          <w:color w:val="000000"/>
        </w:rPr>
      </w:pPr>
      <w:r w:rsidRPr="00DC3CC0">
        <w:rPr>
          <w:color w:val="000000"/>
        </w:rPr>
        <w:t>Maksimalan broj bodova dobiva prihvatljiva ponuda s najnižom ponuđenom cijenom, a ostalim prihvatljivim ponudama broj bodova umanjuje se u omjeru ponuđenih cijena prema slijedećoj ponuđenoj cijeni. Tada se bodovna vrijednost ponuđene cijene računa po sljedećoj formuli:</w:t>
      </w:r>
    </w:p>
    <w:p w14:paraId="28B5D897" w14:textId="77777777" w:rsidR="001F1B75" w:rsidRPr="00DC3CC0" w:rsidRDefault="001F1B75" w:rsidP="001F1B75">
      <w:pPr>
        <w:jc w:val="both"/>
        <w:rPr>
          <w:color w:val="000000"/>
        </w:rPr>
      </w:pPr>
    </w:p>
    <w:p w14:paraId="6342E9B4" w14:textId="77777777" w:rsidR="001F1B75" w:rsidRPr="00DC3CC0" w:rsidRDefault="00000000" w:rsidP="001F1B75">
      <w:pPr>
        <w:jc w:val="both"/>
        <w:rPr>
          <w:color w:val="000000"/>
        </w:rPr>
      </w:pPr>
      <m:oMathPara>
        <m:oMath>
          <m:f>
            <m:fPr>
              <m:ctrlPr>
                <w:rPr>
                  <w:rFonts w:ascii="Cambria Math" w:hAnsi="Cambria Math"/>
                  <w:color w:val="000000"/>
                </w:rPr>
              </m:ctrlPr>
            </m:fPr>
            <m:num>
              <m:r>
                <w:rPr>
                  <w:rFonts w:ascii="Cambria Math" w:hAnsi="Cambria Math"/>
                  <w:color w:val="000000"/>
                </w:rPr>
                <m:t>najniže ponuđena cijena</m:t>
              </m:r>
            </m:num>
            <m:den>
              <m:r>
                <w:rPr>
                  <w:rFonts w:ascii="Cambria Math" w:hAnsi="Cambria Math"/>
                  <w:color w:val="000000"/>
                </w:rPr>
                <m:t>cijena ponude</m:t>
              </m:r>
            </m:den>
          </m:f>
          <m:r>
            <w:rPr>
              <w:rFonts w:ascii="Cambria Math" w:hAnsi="Cambria Math"/>
              <w:color w:val="000000"/>
            </w:rPr>
            <m:t xml:space="preserve"> x 85,00=broj bodova</m:t>
          </m:r>
        </m:oMath>
      </m:oMathPara>
    </w:p>
    <w:p w14:paraId="190C77DC" w14:textId="77777777" w:rsidR="001F1B75" w:rsidRPr="00DC3CC0" w:rsidRDefault="001F1B75" w:rsidP="001F1B75">
      <w:pPr>
        <w:jc w:val="both"/>
      </w:pPr>
    </w:p>
    <w:p w14:paraId="5D7D1BBD" w14:textId="4B6E0607" w:rsidR="001F1B75" w:rsidRPr="00EA05A7" w:rsidRDefault="001F1B75" w:rsidP="001F1B75">
      <w:pPr>
        <w:jc w:val="both"/>
      </w:pPr>
      <w:r w:rsidRPr="00DC3CC0">
        <w:t>Po kriteriju „Cijena ponude“ moguće je maksimalno ostvariti 85,00 bodova.</w:t>
      </w:r>
      <w:r w:rsidR="00EA05A7">
        <w:t xml:space="preserve"> </w:t>
      </w:r>
      <w:r w:rsidRPr="00DC3CC0">
        <w:rPr>
          <w:color w:val="000000"/>
        </w:rPr>
        <w:t>S obzirom da Naručitelj ne može koristiti pravo na pretporez uspoređuju se cijene ponude s PDV-om.</w:t>
      </w:r>
    </w:p>
    <w:p w14:paraId="239DFF06" w14:textId="77777777" w:rsidR="001F1B75" w:rsidRPr="00DC3CC0" w:rsidRDefault="001F1B75" w:rsidP="001F1B75">
      <w:pPr>
        <w:jc w:val="both"/>
      </w:pPr>
    </w:p>
    <w:p w14:paraId="7F4D4917" w14:textId="77777777" w:rsidR="001F1B75" w:rsidRPr="00DC3CC0" w:rsidRDefault="001F1B75" w:rsidP="001F1B75">
      <w:pPr>
        <w:jc w:val="both"/>
        <w:rPr>
          <w:b/>
          <w:bCs/>
        </w:rPr>
      </w:pPr>
      <w:r w:rsidRPr="00DC3CC0">
        <w:rPr>
          <w:b/>
          <w:bCs/>
        </w:rPr>
        <w:t xml:space="preserve">Postupak ocjene kriterija </w:t>
      </w:r>
      <w:bookmarkStart w:id="5" w:name="_Hlk80276019"/>
      <w:r w:rsidRPr="00DC3CC0">
        <w:rPr>
          <w:b/>
          <w:bCs/>
        </w:rPr>
        <w:t>„</w:t>
      </w:r>
      <w:bookmarkStart w:id="6" w:name="_Hlk149907364"/>
      <w:r w:rsidRPr="00DC3CC0">
        <w:rPr>
          <w:b/>
          <w:bCs/>
        </w:rPr>
        <w:t>Instalirana snaga nove rasvjete</w:t>
      </w:r>
      <w:bookmarkEnd w:id="6"/>
      <w:r w:rsidRPr="00DC3CC0">
        <w:rPr>
          <w:b/>
          <w:bCs/>
        </w:rPr>
        <w:t xml:space="preserve">“ </w:t>
      </w:r>
      <w:bookmarkEnd w:id="5"/>
      <w:r w:rsidRPr="00DC3CC0">
        <w:rPr>
          <w:b/>
          <w:bCs/>
        </w:rPr>
        <w:t>(K2):</w:t>
      </w:r>
    </w:p>
    <w:p w14:paraId="52F9F53C" w14:textId="77777777" w:rsidR="001F1B75" w:rsidRPr="00DC3CC0" w:rsidRDefault="001F1B75" w:rsidP="001F1B75">
      <w:pPr>
        <w:jc w:val="both"/>
      </w:pPr>
      <w:r w:rsidRPr="00DC3CC0">
        <w:t>Naručitelj kao drugi kriterij određuje ukupnu instaliranu snagu za sva ponuđena rasvjetna tijela, temeljem kojeg je moguće ostvariti maksimalno 15,00 bodova.</w:t>
      </w:r>
    </w:p>
    <w:p w14:paraId="5A41DEA1" w14:textId="77777777" w:rsidR="001F1B75" w:rsidRPr="00DC3CC0" w:rsidRDefault="001F1B75" w:rsidP="001F1B75">
      <w:pPr>
        <w:jc w:val="both"/>
        <w:rPr>
          <w:color w:val="000000"/>
        </w:rPr>
      </w:pPr>
    </w:p>
    <w:p w14:paraId="2C06AC8B" w14:textId="77777777" w:rsidR="001F1B75" w:rsidRPr="00DC3CC0" w:rsidRDefault="001F1B75" w:rsidP="001F1B75">
      <w:pPr>
        <w:jc w:val="both"/>
        <w:rPr>
          <w:color w:val="000000"/>
        </w:rPr>
      </w:pPr>
      <w:r w:rsidRPr="00DC3CC0">
        <w:rPr>
          <w:color w:val="000000"/>
        </w:rPr>
        <w:t>Maksimalan broj bodova dobiva prihvatljiva ponuda s najnižom ponuđenom instaliranom snagom, a ostalim prihvatljivim ponudama dodjeljuje se broj bodova u omjeru najniže ponuđene instalirane snage prema ponuđenim instaliranim snagama iz preostalih ponuda, sukladno formuli:</w:t>
      </w:r>
    </w:p>
    <w:p w14:paraId="1716131C" w14:textId="77777777" w:rsidR="001F1B75" w:rsidRPr="00DC3CC0" w:rsidRDefault="001F1B75" w:rsidP="001F1B75">
      <w:pPr>
        <w:jc w:val="both"/>
        <w:rPr>
          <w:color w:val="000000"/>
        </w:rPr>
      </w:pPr>
    </w:p>
    <w:p w14:paraId="44E7DF01" w14:textId="77777777" w:rsidR="001F1B75" w:rsidRPr="00E42CCA" w:rsidRDefault="00000000" w:rsidP="001F1B75">
      <w:pPr>
        <w:jc w:val="both"/>
        <w:rPr>
          <w:color w:val="000000"/>
        </w:rPr>
      </w:pPr>
      <m:oMathPara>
        <m:oMath>
          <m:f>
            <m:fPr>
              <m:ctrlPr>
                <w:rPr>
                  <w:rFonts w:ascii="Cambria Math" w:hAnsi="Cambria Math"/>
                  <w:color w:val="000000"/>
                </w:rPr>
              </m:ctrlPr>
            </m:fPr>
            <m:num>
              <m:r>
                <w:rPr>
                  <w:rFonts w:ascii="Cambria Math" w:hAnsi="Cambria Math"/>
                  <w:color w:val="000000"/>
                </w:rPr>
                <m:t>najniža ponuđena instalirana snaga rasvjete</m:t>
              </m:r>
            </m:num>
            <m:den>
              <m:r>
                <w:rPr>
                  <w:rFonts w:ascii="Cambria Math" w:hAnsi="Cambria Math"/>
                  <w:color w:val="000000"/>
                </w:rPr>
                <m:t>ponuđena instalirana snaga rasvjete</m:t>
              </m:r>
            </m:den>
          </m:f>
          <m:r>
            <w:rPr>
              <w:rFonts w:ascii="Cambria Math" w:hAnsi="Cambria Math"/>
              <w:color w:val="000000"/>
            </w:rPr>
            <m:t xml:space="preserve"> x 15,00=broj bodova</m:t>
          </m:r>
        </m:oMath>
      </m:oMathPara>
    </w:p>
    <w:p w14:paraId="0E630E4C" w14:textId="77777777" w:rsidR="001F1B75" w:rsidRPr="00DC3CC0" w:rsidRDefault="001F1B75" w:rsidP="001F1B75">
      <w:pPr>
        <w:jc w:val="both"/>
      </w:pPr>
    </w:p>
    <w:p w14:paraId="6370AC85" w14:textId="32D9E29E" w:rsidR="001F1B75" w:rsidRPr="00DC3CC0" w:rsidRDefault="001F1B75" w:rsidP="001F1B75">
      <w:pPr>
        <w:jc w:val="both"/>
      </w:pPr>
      <w:r w:rsidRPr="00DC3CC0">
        <w:t xml:space="preserve">Podatak o ponuđenoj instaliranoj snazi Naručitelj će </w:t>
      </w:r>
      <w:r>
        <w:t>izračunati temeljem</w:t>
      </w:r>
      <w:r w:rsidRPr="00DC3CC0">
        <w:t xml:space="preserve"> dostavljenih ponuda, na način da će nazivnu snagu (W) ponuđenih svjetiljki </w:t>
      </w:r>
      <w:r>
        <w:t xml:space="preserve">koju je ponuditelj naveo u obrascu Tehničke specifikacije </w:t>
      </w:r>
      <w:r w:rsidRPr="00DC3CC0">
        <w:t>pomnožiti s količinama iz Troškovnika, kako slijedi:</w:t>
      </w:r>
    </w:p>
    <w:p w14:paraId="7497499F" w14:textId="526C0466" w:rsidR="001F1B75" w:rsidRPr="00DC3CC0" w:rsidRDefault="001F1B75" w:rsidP="001F1B75">
      <w:pPr>
        <w:ind w:left="187"/>
        <w:jc w:val="both"/>
      </w:pPr>
      <w:r w:rsidRPr="00DC3CC0">
        <w:t xml:space="preserve">(Nazivna snaga za svjetiljku tipa S1 x </w:t>
      </w:r>
      <w:r w:rsidR="00EA05A7">
        <w:t>5</w:t>
      </w:r>
      <w:r w:rsidRPr="00DC3CC0">
        <w:t xml:space="preserve"> kom.)</w:t>
      </w:r>
    </w:p>
    <w:p w14:paraId="6AF05AC3" w14:textId="1408776D" w:rsidR="001F1B75" w:rsidRPr="00DC3CC0" w:rsidRDefault="001F1B75" w:rsidP="001F1B75">
      <w:pPr>
        <w:jc w:val="both"/>
      </w:pPr>
      <w:r w:rsidRPr="00DC3CC0">
        <w:t xml:space="preserve">+ (Nazivna snaga za svjetiljku tipa S2 x </w:t>
      </w:r>
      <w:r w:rsidR="00EA05A7">
        <w:t>4</w:t>
      </w:r>
      <w:r w:rsidRPr="00DC3CC0">
        <w:t xml:space="preserve"> kom.)</w:t>
      </w:r>
    </w:p>
    <w:p w14:paraId="21D6CA60" w14:textId="18440C98" w:rsidR="001F1B75" w:rsidRPr="00DC3CC0" w:rsidRDefault="001F1B75" w:rsidP="001F1B75">
      <w:pPr>
        <w:jc w:val="both"/>
      </w:pPr>
      <w:r w:rsidRPr="00DC3CC0">
        <w:t xml:space="preserve">+ (Nazivna snaga za svjetiljku tipa S3 x </w:t>
      </w:r>
      <w:r w:rsidR="00EA05A7">
        <w:t>31</w:t>
      </w:r>
      <w:r w:rsidRPr="00DC3CC0">
        <w:t xml:space="preserve"> kom.)</w:t>
      </w:r>
    </w:p>
    <w:p w14:paraId="481E8F21" w14:textId="7BE89FE2" w:rsidR="001F1B75" w:rsidRPr="00DC3CC0" w:rsidRDefault="001F1B75" w:rsidP="001F1B75">
      <w:pPr>
        <w:jc w:val="both"/>
      </w:pPr>
      <w:r w:rsidRPr="00DC3CC0">
        <w:t xml:space="preserve">+ (Nazivna snaga za svjetiljku tipa S4 x </w:t>
      </w:r>
      <w:r w:rsidR="00EA05A7">
        <w:t>4</w:t>
      </w:r>
      <w:r w:rsidRPr="00DC3CC0">
        <w:t xml:space="preserve"> kom.)</w:t>
      </w:r>
    </w:p>
    <w:p w14:paraId="5765BF0D" w14:textId="146669C3" w:rsidR="001F1B75" w:rsidRPr="00DC3CC0" w:rsidRDefault="001F1B75" w:rsidP="001F1B75">
      <w:pPr>
        <w:jc w:val="both"/>
      </w:pPr>
      <w:r w:rsidRPr="00DC3CC0">
        <w:t xml:space="preserve">+ (Nazivna snaga za svjetiljku tipa S5 x </w:t>
      </w:r>
      <w:r w:rsidR="00EA05A7">
        <w:t>4</w:t>
      </w:r>
      <w:r w:rsidRPr="00DC3CC0">
        <w:t xml:space="preserve"> kom.)</w:t>
      </w:r>
    </w:p>
    <w:p w14:paraId="755F3C4C" w14:textId="2CD8591A" w:rsidR="001F1B75" w:rsidRPr="00EA05A7" w:rsidRDefault="001F1B75" w:rsidP="001F1B75">
      <w:pPr>
        <w:jc w:val="both"/>
      </w:pPr>
      <w:r w:rsidRPr="00EA05A7">
        <w:t xml:space="preserve">+ (Nazivna snaga za svjetiljku tipa S6 x </w:t>
      </w:r>
      <w:r w:rsidR="00EA05A7">
        <w:t>2</w:t>
      </w:r>
      <w:r w:rsidRPr="00EA05A7">
        <w:t xml:space="preserve"> kom.)</w:t>
      </w:r>
    </w:p>
    <w:p w14:paraId="6893A077" w14:textId="2158B8CE" w:rsidR="00EA05A7" w:rsidRPr="00DC3CC0" w:rsidRDefault="00EA05A7" w:rsidP="00EA05A7">
      <w:pPr>
        <w:jc w:val="both"/>
      </w:pPr>
      <w:r w:rsidRPr="00DC3CC0">
        <w:t>+ (Nazivna snaga za svjetiljku tipa S</w:t>
      </w:r>
      <w:r>
        <w:t>7</w:t>
      </w:r>
      <w:r w:rsidRPr="00DC3CC0">
        <w:t xml:space="preserve"> x </w:t>
      </w:r>
      <w:r>
        <w:t>14</w:t>
      </w:r>
      <w:r w:rsidRPr="00DC3CC0">
        <w:t xml:space="preserve"> kom.)</w:t>
      </w:r>
    </w:p>
    <w:p w14:paraId="027FF0A5" w14:textId="14A7B51C" w:rsidR="00EA05A7" w:rsidRPr="00DC3CC0" w:rsidRDefault="00EA05A7" w:rsidP="00EA05A7">
      <w:pPr>
        <w:jc w:val="both"/>
      </w:pPr>
      <w:r w:rsidRPr="00DC3CC0">
        <w:t>+ (Nazivna snaga za svjetiljku tipa S</w:t>
      </w:r>
      <w:r>
        <w:t>8</w:t>
      </w:r>
      <w:r w:rsidRPr="00DC3CC0">
        <w:t xml:space="preserve"> x </w:t>
      </w:r>
      <w:r>
        <w:t>15</w:t>
      </w:r>
      <w:r w:rsidRPr="00DC3CC0">
        <w:t xml:space="preserve"> kom.)</w:t>
      </w:r>
    </w:p>
    <w:p w14:paraId="013F8BAA" w14:textId="5A86B38D" w:rsidR="00EA05A7" w:rsidRPr="00DC3CC0" w:rsidRDefault="00EA05A7" w:rsidP="00EA05A7">
      <w:pPr>
        <w:jc w:val="both"/>
      </w:pPr>
      <w:r w:rsidRPr="00DC3CC0">
        <w:t>+ (Nazivna snaga za svjetiljku tipa S</w:t>
      </w:r>
      <w:r>
        <w:t>9</w:t>
      </w:r>
      <w:r w:rsidRPr="00DC3CC0">
        <w:t xml:space="preserve"> x </w:t>
      </w:r>
      <w:r>
        <w:t>24</w:t>
      </w:r>
      <w:r w:rsidRPr="00DC3CC0">
        <w:t xml:space="preserve"> kom.)</w:t>
      </w:r>
    </w:p>
    <w:p w14:paraId="00556F18" w14:textId="15C7F39F" w:rsidR="00EA05A7" w:rsidRPr="00DC3CC0" w:rsidRDefault="00EA05A7" w:rsidP="001F1B75">
      <w:pPr>
        <w:jc w:val="both"/>
        <w:rPr>
          <w:u w:val="single"/>
        </w:rPr>
      </w:pPr>
      <w:r w:rsidRPr="00DC3CC0">
        <w:rPr>
          <w:u w:val="single"/>
        </w:rPr>
        <w:t>+ (Nazivna snaga za svjetiljku tipa S</w:t>
      </w:r>
      <w:r>
        <w:rPr>
          <w:u w:val="single"/>
        </w:rPr>
        <w:t>10</w:t>
      </w:r>
      <w:r w:rsidRPr="00DC3CC0">
        <w:rPr>
          <w:u w:val="single"/>
        </w:rPr>
        <w:t xml:space="preserve"> x </w:t>
      </w:r>
      <w:r>
        <w:rPr>
          <w:u w:val="single"/>
        </w:rPr>
        <w:t>2</w:t>
      </w:r>
      <w:r w:rsidRPr="00DC3CC0">
        <w:rPr>
          <w:u w:val="single"/>
        </w:rPr>
        <w:t xml:space="preserve"> kom.)  </w:t>
      </w:r>
    </w:p>
    <w:p w14:paraId="619922FF" w14:textId="77777777" w:rsidR="001F1B75" w:rsidRPr="00DC3CC0" w:rsidRDefault="001F1B75" w:rsidP="001F1B75">
      <w:pPr>
        <w:jc w:val="both"/>
        <w:rPr>
          <w:b/>
          <w:bCs/>
        </w:rPr>
      </w:pPr>
      <w:r w:rsidRPr="00DC3CC0">
        <w:rPr>
          <w:b/>
          <w:bCs/>
        </w:rPr>
        <w:t>= Ponuđena instalirana snaga nove rasvjete</w:t>
      </w:r>
    </w:p>
    <w:p w14:paraId="4AE08659" w14:textId="77777777" w:rsidR="001F1B75" w:rsidRPr="00DC3CC0" w:rsidRDefault="001F1B75" w:rsidP="001F1B75">
      <w:pPr>
        <w:jc w:val="both"/>
      </w:pPr>
    </w:p>
    <w:p w14:paraId="228EEBE3" w14:textId="77777777" w:rsidR="001F1B75" w:rsidRPr="00DC3CC0" w:rsidRDefault="001F1B75" w:rsidP="001F1B75">
      <w:pPr>
        <w:jc w:val="both"/>
        <w:rPr>
          <w:bCs/>
        </w:rPr>
      </w:pPr>
      <w:r w:rsidRPr="00DC3CC0">
        <w:rPr>
          <w:rFonts w:eastAsiaTheme="minorEastAsia"/>
          <w:b/>
          <w:bCs/>
          <w:lang w:eastAsia="zh-CN"/>
        </w:rPr>
        <w:lastRenderedPageBreak/>
        <w:t>OBRAZLOŽENJE KRITERIJA:</w:t>
      </w:r>
      <w:r w:rsidRPr="00DC3CC0">
        <w:rPr>
          <w:rFonts w:eastAsiaTheme="minorEastAsia"/>
          <w:lang w:eastAsia="zh-CN"/>
        </w:rPr>
        <w:t xml:space="preserve"> Jedan od primarnih razloga Naručitelja za provedbu modernizacije </w:t>
      </w:r>
      <w:r w:rsidRPr="00DC3CC0">
        <w:rPr>
          <w:bCs/>
        </w:rPr>
        <w:t>javne rasvjete LED tehnologijom je mogućnost ostvarenja značajnih ušteda na troškovima električne energije. Uzimajući u obzir činjenicu da</w:t>
      </w:r>
      <w:r w:rsidRPr="00DC3CC0">
        <w:rPr>
          <w:rFonts w:eastAsiaTheme="minorEastAsia"/>
          <w:lang w:eastAsia="zh-CN"/>
        </w:rPr>
        <w:t xml:space="preserve"> visina ostvarenih ušteda ponajviše ovisi o </w:t>
      </w:r>
      <w:r w:rsidRPr="00DC3CC0">
        <w:rPr>
          <w:bCs/>
        </w:rPr>
        <w:t>instaliranoj snazi rasvjetnih tijela, propisan je dodatni kriterij</w:t>
      </w:r>
      <w:r w:rsidRPr="00DC3CC0">
        <w:t xml:space="preserve"> (uz cijenu ponude) za</w:t>
      </w:r>
      <w:r w:rsidRPr="00DC3CC0">
        <w:rPr>
          <w:rFonts w:eastAsiaTheme="minorEastAsia"/>
          <w:lang w:eastAsia="zh-CN"/>
        </w:rPr>
        <w:t xml:space="preserve"> vrednovanje pristiglih ponuda.</w:t>
      </w:r>
    </w:p>
    <w:p w14:paraId="5FFC17FD" w14:textId="77777777" w:rsidR="001F1B75" w:rsidRPr="00DC3CC0" w:rsidRDefault="001F1B75" w:rsidP="001F1B75">
      <w:pPr>
        <w:jc w:val="both"/>
        <w:rPr>
          <w:b/>
          <w:bCs/>
        </w:rPr>
      </w:pPr>
    </w:p>
    <w:p w14:paraId="65312B69" w14:textId="77777777" w:rsidR="001F1B75" w:rsidRPr="00DC3CC0" w:rsidRDefault="001F1B75" w:rsidP="001F1B75">
      <w:pPr>
        <w:jc w:val="both"/>
        <w:rPr>
          <w:b/>
          <w:bCs/>
        </w:rPr>
      </w:pPr>
      <w:r w:rsidRPr="00DC3CC0">
        <w:rPr>
          <w:b/>
          <w:bCs/>
        </w:rPr>
        <w:t>Ukupan broj bodova za pojedinu ponudu izračunava se kao zbroj bodova ostvarenih po pojedinom od dva kriterija (K1 i K2), te može maksimalno iznositi 100,00 bodova.</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A0B24B1" w14:textId="3A65BF6D" w:rsidR="0016533C" w:rsidRPr="0016533C" w:rsidRDefault="0016533C" w:rsidP="00AA3498">
      <w:pPr>
        <w:jc w:val="both"/>
        <w:rPr>
          <w:b/>
          <w:color w:val="FF0000"/>
          <w:u w:val="single"/>
        </w:rPr>
      </w:pPr>
      <w:r w:rsidRPr="0016533C">
        <w:rPr>
          <w:b/>
          <w:color w:val="FF0000"/>
          <w:u w:val="single"/>
        </w:rPr>
        <w:t>10</w:t>
      </w:r>
      <w:r w:rsidRPr="0016533C">
        <w:rPr>
          <w:b/>
          <w:color w:val="FF0000"/>
          <w:u w:val="single"/>
        </w:rPr>
        <w:t xml:space="preserve">. rujna 2024. do </w:t>
      </w:r>
      <w:r w:rsidRPr="0016533C">
        <w:rPr>
          <w:b/>
          <w:color w:val="FF0000"/>
          <w:u w:val="single"/>
        </w:rPr>
        <w:t>13</w:t>
      </w:r>
      <w:r w:rsidRPr="0016533C">
        <w:rPr>
          <w:b/>
          <w:color w:val="FF0000"/>
          <w:u w:val="single"/>
        </w:rPr>
        <w:t>:00.</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05780887" w:rsidR="001744E9" w:rsidRPr="001744E9" w:rsidRDefault="001744E9" w:rsidP="001744E9">
      <w:pPr>
        <w:jc w:val="both"/>
      </w:pPr>
      <w:r w:rsidRPr="001744E9">
        <w:t xml:space="preserve">Otvaranje ponuda održat će se </w:t>
      </w:r>
      <w:r w:rsidR="0016533C" w:rsidRPr="0016533C">
        <w:rPr>
          <w:color w:val="FF0000"/>
        </w:rPr>
        <w:t>10</w:t>
      </w:r>
      <w:r w:rsidR="001F1B75" w:rsidRPr="0016533C">
        <w:rPr>
          <w:color w:val="FF0000"/>
        </w:rPr>
        <w:t>. rujna</w:t>
      </w:r>
      <w:r w:rsidR="00E41BB6" w:rsidRPr="0016533C">
        <w:rPr>
          <w:color w:val="FF0000"/>
        </w:rPr>
        <w:t xml:space="preserve"> </w:t>
      </w:r>
      <w:r w:rsidRPr="0016533C">
        <w:rPr>
          <w:color w:val="FF0000"/>
        </w:rPr>
        <w:t xml:space="preserve">2024. u </w:t>
      </w:r>
      <w:r w:rsidR="0016533C" w:rsidRPr="0016533C">
        <w:rPr>
          <w:color w:val="FF0000"/>
        </w:rPr>
        <w:t>13</w:t>
      </w:r>
      <w:r w:rsidR="001F1B75" w:rsidRPr="0016533C">
        <w:rPr>
          <w:color w:val="FF0000"/>
        </w:rPr>
        <w:t>:00</w:t>
      </w:r>
      <w:r w:rsidR="00E41BB6" w:rsidRPr="0016533C">
        <w:rPr>
          <w:color w:val="FF0000"/>
        </w:rPr>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38F16639" w:rsidR="001744E9" w:rsidRPr="001744E9" w:rsidRDefault="001744E9" w:rsidP="001744E9">
      <w:pPr>
        <w:jc w:val="both"/>
      </w:pPr>
      <w:r w:rsidRPr="001744E9">
        <w:t>U slučaju da odabrani ponuditelj odbije potpisati ugovor koji je u skladu s uvjetima ovog Poziva</w:t>
      </w:r>
      <w:r w:rsidR="00E41BB6">
        <w:t xml:space="preserve"> </w:t>
      </w:r>
      <w:r w:rsidRPr="001744E9">
        <w:t>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Default="00BD2986" w:rsidP="00CF5ADC">
      <w:pPr>
        <w:rPr>
          <w:b/>
        </w:rPr>
      </w:pPr>
    </w:p>
    <w:p w14:paraId="6F27EDBC" w14:textId="77777777" w:rsidR="00EA05A7" w:rsidRDefault="00EA05A7" w:rsidP="00CF5ADC">
      <w:pPr>
        <w:rPr>
          <w:b/>
        </w:rPr>
      </w:pPr>
    </w:p>
    <w:p w14:paraId="25B3367F" w14:textId="77777777" w:rsidR="00EA05A7" w:rsidRDefault="00EA05A7" w:rsidP="00CF5ADC">
      <w:pPr>
        <w:rPr>
          <w:b/>
        </w:rPr>
      </w:pPr>
    </w:p>
    <w:p w14:paraId="5E9EC698" w14:textId="77777777" w:rsidR="00EA05A7" w:rsidRDefault="00EA05A7" w:rsidP="00CF5ADC">
      <w:pPr>
        <w:rPr>
          <w:b/>
        </w:rPr>
      </w:pPr>
    </w:p>
    <w:p w14:paraId="7E33DED1" w14:textId="77777777" w:rsidR="00EA05A7" w:rsidRPr="00826B5B" w:rsidRDefault="00EA05A7"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596FE20" w14:textId="77777777" w:rsidR="001744E9" w:rsidRDefault="001744E9" w:rsidP="001744E9">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Default="001744E9" w:rsidP="001744E9">
      <w:pPr>
        <w:jc w:val="both"/>
      </w:pPr>
    </w:p>
    <w:p w14:paraId="53490A27" w14:textId="77777777" w:rsidR="001744E9" w:rsidRPr="00826B5B" w:rsidRDefault="001744E9" w:rsidP="001744E9">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787C7DB9" w14:textId="77777777" w:rsidR="007C35D9" w:rsidRPr="00DC3CC0" w:rsidRDefault="007C35D9" w:rsidP="007C35D9">
      <w:pPr>
        <w:pStyle w:val="ListParagraph"/>
        <w:numPr>
          <w:ilvl w:val="0"/>
          <w:numId w:val="27"/>
        </w:numPr>
        <w:shd w:val="clear" w:color="auto" w:fill="C6D9F1" w:themeFill="text2" w:themeFillTint="33"/>
        <w:rPr>
          <w:b/>
          <w:sz w:val="24"/>
          <w:szCs w:val="24"/>
        </w:rPr>
      </w:pPr>
      <w:r w:rsidRPr="00DC3CC0">
        <w:rPr>
          <w:b/>
          <w:sz w:val="24"/>
          <w:szCs w:val="24"/>
        </w:rPr>
        <w:t>JAMSTVO ZA OTKLANJANJE NEDOSTATAKA U JAMSTVENOM ROKU:</w:t>
      </w:r>
    </w:p>
    <w:p w14:paraId="5AF016CB" w14:textId="77777777" w:rsidR="007C35D9" w:rsidRPr="00DC3CC0" w:rsidRDefault="007C35D9" w:rsidP="007C35D9">
      <w:pPr>
        <w:jc w:val="both"/>
        <w:rPr>
          <w:rFonts w:eastAsiaTheme="minorEastAsia"/>
          <w:b/>
          <w:lang w:eastAsia="zh-CN"/>
        </w:rPr>
      </w:pPr>
    </w:p>
    <w:p w14:paraId="47A75BDD" w14:textId="77777777" w:rsidR="007C35D9" w:rsidRPr="00DC3CC0" w:rsidRDefault="007C35D9" w:rsidP="007C35D9">
      <w:pPr>
        <w:jc w:val="both"/>
        <w:rPr>
          <w:rFonts w:eastAsiaTheme="minorEastAsia"/>
          <w:b/>
          <w:lang w:eastAsia="zh-CN"/>
        </w:rPr>
      </w:pPr>
      <w:r w:rsidRPr="00DC3CC0">
        <w:rPr>
          <w:rFonts w:eastAsiaTheme="minorEastAsia"/>
          <w:lang w:eastAsia="zh-CN"/>
        </w:rPr>
        <w:t xml:space="preserve">Jamstveni rok je vremensko razdoblje u kojem odabrani ponuditelj garantira za otklanjanje svih nedostataka na izvedenim radovima, ugrađenoj opremi i ugrađenim materijalima. </w:t>
      </w:r>
      <w:r w:rsidRPr="00DC3CC0">
        <w:rPr>
          <w:rFonts w:eastAsiaTheme="minorEastAsia"/>
          <w:b/>
          <w:lang w:eastAsia="zh-CN"/>
        </w:rPr>
        <w:t>Naručitelj utvrđuje jamstveni rok za otklanjanje nedostataka u trajanju od 60 (šezdeset) mjeseci.</w:t>
      </w:r>
    </w:p>
    <w:p w14:paraId="7A7BF942" w14:textId="77777777" w:rsidR="007C35D9" w:rsidRPr="00DC3CC0" w:rsidRDefault="007C35D9" w:rsidP="007C35D9">
      <w:pPr>
        <w:jc w:val="both"/>
        <w:rPr>
          <w:rFonts w:eastAsiaTheme="minorEastAsia"/>
          <w:lang w:eastAsia="zh-CN"/>
        </w:rPr>
      </w:pPr>
    </w:p>
    <w:p w14:paraId="0116603A" w14:textId="77777777" w:rsidR="007C35D9" w:rsidRPr="00DC3CC0" w:rsidRDefault="007C35D9" w:rsidP="007C35D9">
      <w:pPr>
        <w:jc w:val="both"/>
        <w:rPr>
          <w:rFonts w:eastAsiaTheme="minorEastAsia"/>
          <w:lang w:eastAsia="zh-CN"/>
        </w:rPr>
      </w:pPr>
      <w:r w:rsidRPr="00DC3CC0">
        <w:rPr>
          <w:rFonts w:eastAsiaTheme="minorEastAsia"/>
          <w:lang w:eastAsia="zh-CN"/>
        </w:rPr>
        <w:t xml:space="preserve">Odabrani ponuditelj je obvezan, </w:t>
      </w:r>
      <w:r w:rsidRPr="00DC3CC0">
        <w:rPr>
          <w:rFonts w:eastAsiaTheme="minorEastAsia"/>
          <w:b/>
          <w:bCs/>
          <w:lang w:eastAsia="zh-CN"/>
        </w:rPr>
        <w:t>u roku od</w:t>
      </w:r>
      <w:r w:rsidRPr="00DC3CC0">
        <w:rPr>
          <w:rFonts w:eastAsiaTheme="minorEastAsia"/>
          <w:lang w:eastAsia="zh-CN"/>
        </w:rPr>
        <w:t xml:space="preserve"> </w:t>
      </w:r>
      <w:r w:rsidRPr="00DC3CC0">
        <w:rPr>
          <w:rFonts w:eastAsiaTheme="minorEastAsia"/>
          <w:b/>
          <w:bCs/>
          <w:lang w:eastAsia="zh-CN"/>
        </w:rPr>
        <w:t>30 (trideset) dana od dana uspješno obavljene primopredaje izvedenih radova iz ugovora o nabavi,</w:t>
      </w:r>
      <w:r w:rsidRPr="00DC3CC0">
        <w:rPr>
          <w:rFonts w:eastAsiaTheme="minorEastAsia"/>
          <w:lang w:eastAsia="zh-CN"/>
        </w:rPr>
        <w:t xml:space="preserve"> dostaviti Naručitelju jamstvo za otklanjanje nedostataka u jamstvenom roku za slučaj da odabrani ponuditelj u jamstvenom roku ne ispuni obveze po osnovi otklanjanja nedostataka na izvršenom predmetu nabave koje ima po osnovi jamstva ili s osnova naknade štete, u iznosu od 10% (deset posto) ukupne vrijednosti izvedenih radova bez PDV-a.</w:t>
      </w:r>
    </w:p>
    <w:p w14:paraId="52763F4D" w14:textId="77777777" w:rsidR="007C35D9" w:rsidRPr="00DC3CC0" w:rsidRDefault="007C35D9" w:rsidP="007C35D9">
      <w:pPr>
        <w:jc w:val="both"/>
      </w:pPr>
    </w:p>
    <w:p w14:paraId="1D674996" w14:textId="77777777" w:rsidR="007C35D9" w:rsidRPr="00DC3CC0" w:rsidRDefault="007C35D9" w:rsidP="007C35D9">
      <w:pPr>
        <w:jc w:val="both"/>
      </w:pPr>
      <w:r w:rsidRPr="00DC3CC0">
        <w:t xml:space="preserve">Odabrani ponuditelj dostavlja Naručitelju jamstvo </w:t>
      </w:r>
      <w:r w:rsidRPr="00DC3CC0">
        <w:rPr>
          <w:color w:val="000000"/>
        </w:rPr>
        <w:t xml:space="preserve">za </w:t>
      </w:r>
      <w:r w:rsidRPr="00DC3CC0">
        <w:rPr>
          <w:rFonts w:eastAsiaTheme="minorEastAsia"/>
          <w:lang w:eastAsia="zh-CN"/>
        </w:rPr>
        <w:t xml:space="preserve">otklanjanje nedostataka u jamstvenom roku </w:t>
      </w:r>
      <w:r w:rsidRPr="00DC3CC0">
        <w:rPr>
          <w:color w:val="000000"/>
        </w:rPr>
        <w:t>u jednom od sljedećih oblika:</w:t>
      </w:r>
    </w:p>
    <w:p w14:paraId="1E7ED1EA" w14:textId="77777777" w:rsidR="007C35D9" w:rsidRPr="00DC3CC0" w:rsidRDefault="007C35D9" w:rsidP="007C35D9">
      <w:pPr>
        <w:pStyle w:val="ListParagraph"/>
        <w:numPr>
          <w:ilvl w:val="0"/>
          <w:numId w:val="36"/>
        </w:numPr>
        <w:jc w:val="both"/>
        <w:rPr>
          <w:sz w:val="24"/>
          <w:szCs w:val="24"/>
        </w:rPr>
      </w:pPr>
      <w:r w:rsidRPr="00DC3CC0">
        <w:rPr>
          <w:b/>
          <w:bCs/>
          <w:sz w:val="24"/>
          <w:szCs w:val="24"/>
        </w:rPr>
        <w:t xml:space="preserve">Zadužnica: </w:t>
      </w:r>
      <w:r w:rsidRPr="00DC3CC0">
        <w:rPr>
          <w:sz w:val="24"/>
          <w:szCs w:val="24"/>
        </w:rPr>
        <w:t>izdana na propisanom obrascu, u korist Naručitelja, potvrđena (</w:t>
      </w:r>
      <w:proofErr w:type="spellStart"/>
      <w:r w:rsidRPr="00DC3CC0">
        <w:rPr>
          <w:sz w:val="24"/>
          <w:szCs w:val="24"/>
        </w:rPr>
        <w:t>solemnizirana</w:t>
      </w:r>
      <w:proofErr w:type="spellEnd"/>
      <w:r w:rsidRPr="00DC3CC0">
        <w:rPr>
          <w:sz w:val="24"/>
          <w:szCs w:val="24"/>
        </w:rPr>
        <w:t>) kod javnog bilježnika te popunjena sukladno Pravilniku o obliku i sadržaju zadužnice („Narodne novine“ broj 115/12, 82/17 i 154/22)</w:t>
      </w:r>
    </w:p>
    <w:p w14:paraId="0247D05C" w14:textId="77777777" w:rsidR="007C35D9" w:rsidRDefault="007C35D9" w:rsidP="007C35D9">
      <w:pPr>
        <w:pStyle w:val="ListParagraph"/>
        <w:numPr>
          <w:ilvl w:val="0"/>
          <w:numId w:val="36"/>
        </w:numPr>
        <w:jc w:val="both"/>
        <w:rPr>
          <w:sz w:val="24"/>
          <w:szCs w:val="24"/>
        </w:rPr>
      </w:pPr>
      <w:r w:rsidRPr="00DC3CC0">
        <w:rPr>
          <w:b/>
          <w:bCs/>
          <w:sz w:val="24"/>
          <w:szCs w:val="24"/>
        </w:rPr>
        <w:t xml:space="preserve">Bjanko zadužnica: </w:t>
      </w:r>
      <w:r w:rsidRPr="00DC3CC0">
        <w:rPr>
          <w:sz w:val="24"/>
          <w:szCs w:val="24"/>
        </w:rPr>
        <w:t>izdana na propisanom obrascu, u korist Naručitelja, potvrđena (</w:t>
      </w:r>
      <w:proofErr w:type="spellStart"/>
      <w:r w:rsidRPr="00DC3CC0">
        <w:rPr>
          <w:sz w:val="24"/>
          <w:szCs w:val="24"/>
        </w:rPr>
        <w:t>solemnizirana</w:t>
      </w:r>
      <w:proofErr w:type="spellEnd"/>
      <w:r w:rsidRPr="00DC3CC0">
        <w:rPr>
          <w:sz w:val="24"/>
          <w:szCs w:val="24"/>
        </w:rPr>
        <w:t>) kod javnog bilježnika te popunjena sukladno Pravilniku o obliku i sadržaju bjanko zadužnice („Narodne novine“ broj 115/12, 82/17 i 154/22)</w:t>
      </w:r>
    </w:p>
    <w:p w14:paraId="1DBBD57B" w14:textId="158DA532" w:rsidR="00EA05A7" w:rsidRPr="00B63A8D" w:rsidRDefault="00EA05A7" w:rsidP="00EA05A7">
      <w:pPr>
        <w:pStyle w:val="ListParagraph"/>
        <w:numPr>
          <w:ilvl w:val="0"/>
          <w:numId w:val="36"/>
        </w:numPr>
        <w:jc w:val="both"/>
        <w:rPr>
          <w:sz w:val="24"/>
          <w:szCs w:val="24"/>
        </w:rPr>
      </w:pPr>
      <w:r>
        <w:rPr>
          <w:b/>
          <w:bCs/>
          <w:sz w:val="24"/>
          <w:szCs w:val="24"/>
        </w:rPr>
        <w:t>Bankarska garancija:</w:t>
      </w:r>
      <w:r>
        <w:rPr>
          <w:sz w:val="24"/>
          <w:szCs w:val="24"/>
        </w:rPr>
        <w:t xml:space="preserve"> izdana </w:t>
      </w:r>
      <w:r w:rsidRPr="0074180B">
        <w:rPr>
          <w:sz w:val="24"/>
          <w:szCs w:val="24"/>
        </w:rPr>
        <w:t xml:space="preserve">za </w:t>
      </w:r>
      <w:r w:rsidR="00596E36">
        <w:rPr>
          <w:sz w:val="24"/>
          <w:szCs w:val="24"/>
        </w:rPr>
        <w:t>otklanjanje nedostataka</w:t>
      </w:r>
      <w:r w:rsidRPr="0074180B">
        <w:rPr>
          <w:sz w:val="24"/>
          <w:szCs w:val="24"/>
        </w:rPr>
        <w:t xml:space="preserve"> </w:t>
      </w:r>
      <w:r w:rsidR="00596E36">
        <w:rPr>
          <w:sz w:val="24"/>
          <w:szCs w:val="24"/>
        </w:rPr>
        <w:t>u jamstvenom roku</w:t>
      </w:r>
      <w:r w:rsidRPr="0074180B">
        <w:rPr>
          <w:sz w:val="24"/>
          <w:szCs w:val="24"/>
        </w:rPr>
        <w:t xml:space="preserve">, s </w:t>
      </w:r>
      <w:r>
        <w:rPr>
          <w:sz w:val="24"/>
          <w:szCs w:val="24"/>
        </w:rPr>
        <w:t>klauzulama</w:t>
      </w:r>
      <w:r w:rsidRPr="0074180B">
        <w:rPr>
          <w:sz w:val="24"/>
          <w:szCs w:val="24"/>
        </w:rPr>
        <w:t xml:space="preserve"> „neopozivo“, „bezuvjetno“, „plativo na prvi poziv“ i „bez prava prigovora“, s rokom važenja </w:t>
      </w:r>
      <w:r>
        <w:rPr>
          <w:sz w:val="24"/>
          <w:szCs w:val="24"/>
        </w:rPr>
        <w:t>30</w:t>
      </w:r>
      <w:r w:rsidRPr="0074180B">
        <w:rPr>
          <w:sz w:val="24"/>
          <w:szCs w:val="24"/>
        </w:rPr>
        <w:t xml:space="preserve"> (</w:t>
      </w:r>
      <w:r>
        <w:rPr>
          <w:sz w:val="24"/>
          <w:szCs w:val="24"/>
        </w:rPr>
        <w:t>trideset</w:t>
      </w:r>
      <w:r w:rsidRPr="0074180B">
        <w:rPr>
          <w:sz w:val="24"/>
          <w:szCs w:val="24"/>
        </w:rPr>
        <w:t xml:space="preserve">) dana duljim od </w:t>
      </w:r>
      <w:r w:rsidR="00596E36">
        <w:rPr>
          <w:sz w:val="24"/>
          <w:szCs w:val="24"/>
        </w:rPr>
        <w:t>isteka jamstvenog roka</w:t>
      </w:r>
      <w:r w:rsidRPr="0074180B">
        <w:rPr>
          <w:sz w:val="24"/>
          <w:szCs w:val="24"/>
        </w:rPr>
        <w:t>.</w:t>
      </w:r>
    </w:p>
    <w:p w14:paraId="1810FE70" w14:textId="1E1C1559" w:rsidR="007C35D9" w:rsidRPr="00DC3CC0" w:rsidRDefault="007C35D9" w:rsidP="007C35D9">
      <w:pPr>
        <w:pStyle w:val="ListParagraph"/>
        <w:numPr>
          <w:ilvl w:val="0"/>
          <w:numId w:val="36"/>
        </w:numPr>
        <w:jc w:val="both"/>
        <w:rPr>
          <w:sz w:val="24"/>
          <w:szCs w:val="24"/>
        </w:rPr>
      </w:pPr>
      <w:r w:rsidRPr="00DC3CC0">
        <w:rPr>
          <w:b/>
          <w:bCs/>
          <w:sz w:val="24"/>
          <w:szCs w:val="24"/>
        </w:rPr>
        <w:t>Uplata novčanog pologa na račun Naručitelja,</w:t>
      </w:r>
      <w:r w:rsidRPr="00DC3CC0">
        <w:rPr>
          <w:sz w:val="24"/>
          <w:szCs w:val="24"/>
        </w:rPr>
        <w:t xml:space="preserve"> IBAN: HR9124020061830100009, Model HR68, Poziv na broj: 9016-OIB ponuditelja, Opis plaćanja: Jamstvo za otklanjanje nedostataka u jamstvenom - 40/</w:t>
      </w:r>
      <w:r w:rsidR="00596E36">
        <w:rPr>
          <w:sz w:val="24"/>
          <w:szCs w:val="24"/>
        </w:rPr>
        <w:t>24</w:t>
      </w:r>
      <w:r w:rsidRPr="00DC3CC0">
        <w:rPr>
          <w:sz w:val="24"/>
          <w:szCs w:val="24"/>
        </w:rPr>
        <w:t>, BIC (SWIFT) CODE: ESBCHR22.</w:t>
      </w:r>
    </w:p>
    <w:p w14:paraId="1E4C844F" w14:textId="77777777" w:rsidR="007C35D9" w:rsidRPr="00826B5B" w:rsidRDefault="007C35D9"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29F006" w14:textId="77777777" w:rsidR="00596E36" w:rsidRDefault="007351A8" w:rsidP="00596E36">
      <w:pPr>
        <w:pStyle w:val="ListParagraph"/>
        <w:numPr>
          <w:ilvl w:val="0"/>
          <w:numId w:val="34"/>
        </w:numPr>
        <w:rPr>
          <w:sz w:val="24"/>
          <w:szCs w:val="24"/>
        </w:rPr>
      </w:pPr>
      <w:r w:rsidRPr="00596E36">
        <w:rPr>
          <w:sz w:val="24"/>
          <w:szCs w:val="24"/>
        </w:rPr>
        <w:t xml:space="preserve">Obrazac </w:t>
      </w:r>
      <w:r w:rsidR="003C4B5D" w:rsidRPr="00596E36">
        <w:rPr>
          <w:sz w:val="24"/>
          <w:szCs w:val="24"/>
        </w:rPr>
        <w:t>Troškovnik</w:t>
      </w:r>
      <w:r w:rsidRPr="00596E36">
        <w:rPr>
          <w:sz w:val="24"/>
          <w:szCs w:val="24"/>
        </w:rPr>
        <w:t>a</w:t>
      </w:r>
    </w:p>
    <w:p w14:paraId="789217E6" w14:textId="77777777" w:rsidR="00596E36" w:rsidRDefault="00596E36" w:rsidP="00596E36">
      <w:pPr>
        <w:pStyle w:val="ListParagraph"/>
        <w:numPr>
          <w:ilvl w:val="0"/>
          <w:numId w:val="34"/>
        </w:numPr>
        <w:rPr>
          <w:sz w:val="24"/>
          <w:szCs w:val="24"/>
        </w:rPr>
      </w:pPr>
      <w:r>
        <w:rPr>
          <w:sz w:val="24"/>
          <w:szCs w:val="24"/>
        </w:rPr>
        <w:t>Tehnička specifikacija ponuđene robe</w:t>
      </w:r>
    </w:p>
    <w:p w14:paraId="21F1A395" w14:textId="77777777" w:rsidR="00596E36" w:rsidRDefault="00596E36" w:rsidP="00596E36">
      <w:pPr>
        <w:pStyle w:val="ListParagraph"/>
        <w:numPr>
          <w:ilvl w:val="0"/>
          <w:numId w:val="34"/>
        </w:numPr>
        <w:rPr>
          <w:sz w:val="24"/>
          <w:szCs w:val="24"/>
        </w:rPr>
      </w:pPr>
      <w:r>
        <w:rPr>
          <w:sz w:val="24"/>
          <w:szCs w:val="24"/>
        </w:rPr>
        <w:t xml:space="preserve">Popis ulaznih parametara za izradu </w:t>
      </w:r>
      <w:proofErr w:type="spellStart"/>
      <w:r>
        <w:rPr>
          <w:sz w:val="24"/>
          <w:szCs w:val="24"/>
        </w:rPr>
        <w:t>svjetlotehničkog</w:t>
      </w:r>
      <w:proofErr w:type="spellEnd"/>
      <w:r>
        <w:rPr>
          <w:sz w:val="24"/>
          <w:szCs w:val="24"/>
        </w:rPr>
        <w:t xml:space="preserve"> proračuna</w:t>
      </w:r>
    </w:p>
    <w:p w14:paraId="2712FAC3" w14:textId="7E49E744" w:rsidR="00AA3498" w:rsidRPr="00596E36" w:rsidRDefault="00596E36" w:rsidP="00596E36">
      <w:pPr>
        <w:pStyle w:val="ListParagraph"/>
        <w:numPr>
          <w:ilvl w:val="0"/>
          <w:numId w:val="34"/>
        </w:numPr>
        <w:rPr>
          <w:sz w:val="24"/>
          <w:szCs w:val="24"/>
        </w:rPr>
      </w:pPr>
      <w:r>
        <w:rPr>
          <w:sz w:val="24"/>
          <w:szCs w:val="24"/>
        </w:rPr>
        <w:t>O</w:t>
      </w:r>
      <w:r w:rsidRPr="00596E36">
        <w:rPr>
          <w:sz w:val="24"/>
          <w:szCs w:val="24"/>
        </w:rPr>
        <w:t>brazac „Izjava o nominiranom stručnjaku“</w:t>
      </w:r>
      <w:r w:rsidR="00AA3498" w:rsidRPr="00596E36">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32B0D9C7"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596E36">
        <w:rPr>
          <w:b/>
          <w:bCs/>
        </w:rPr>
        <w:t>., v.r.</w:t>
      </w:r>
    </w:p>
    <w:sectPr w:rsidR="00E7343C" w:rsidRPr="004F51A4" w:rsidSect="00872D0F">
      <w:footerReference w:type="even" r:id="rId13"/>
      <w:footerReference w:type="default" r:id="rId14"/>
      <w:headerReference w:type="first" r:id="rId15"/>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7EF6A" w14:textId="77777777" w:rsidR="00654CE7" w:rsidRDefault="00654CE7">
      <w:r>
        <w:separator/>
      </w:r>
    </w:p>
  </w:endnote>
  <w:endnote w:type="continuationSeparator" w:id="0">
    <w:p w14:paraId="070F2867" w14:textId="77777777" w:rsidR="00654CE7" w:rsidRDefault="0065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Pr="00596E36" w:rsidRDefault="00B15B76" w:rsidP="0077357C">
    <w:pPr>
      <w:pStyle w:val="Footer"/>
      <w:framePr w:wrap="around" w:vAnchor="text" w:hAnchor="margin" w:xAlign="right" w:y="1"/>
      <w:rPr>
        <w:rStyle w:val="PageNumber"/>
        <w:sz w:val="24"/>
        <w:szCs w:val="24"/>
      </w:rPr>
    </w:pPr>
    <w:r w:rsidRPr="00596E36">
      <w:rPr>
        <w:rStyle w:val="PageNumber"/>
        <w:sz w:val="24"/>
        <w:szCs w:val="24"/>
      </w:rPr>
      <w:fldChar w:fldCharType="begin"/>
    </w:r>
    <w:r w:rsidRPr="00596E36">
      <w:rPr>
        <w:rStyle w:val="PageNumber"/>
        <w:sz w:val="24"/>
        <w:szCs w:val="24"/>
      </w:rPr>
      <w:instrText xml:space="preserve">PAGE  </w:instrText>
    </w:r>
    <w:r w:rsidRPr="00596E36">
      <w:rPr>
        <w:rStyle w:val="PageNumber"/>
        <w:sz w:val="24"/>
        <w:szCs w:val="24"/>
      </w:rPr>
      <w:fldChar w:fldCharType="separate"/>
    </w:r>
    <w:r w:rsidR="0068184B" w:rsidRPr="00596E36">
      <w:rPr>
        <w:rStyle w:val="PageNumber"/>
        <w:noProof/>
        <w:sz w:val="24"/>
        <w:szCs w:val="24"/>
      </w:rPr>
      <w:t>4</w:t>
    </w:r>
    <w:r w:rsidRPr="00596E36">
      <w:rPr>
        <w:rStyle w:val="PageNumber"/>
        <w:sz w:val="24"/>
        <w:szCs w:val="24"/>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C96B3" w14:textId="77777777" w:rsidR="00654CE7" w:rsidRDefault="00654CE7">
      <w:r>
        <w:separator/>
      </w:r>
    </w:p>
  </w:footnote>
  <w:footnote w:type="continuationSeparator" w:id="0">
    <w:p w14:paraId="66CC7CB3" w14:textId="77777777" w:rsidR="00654CE7" w:rsidRDefault="0065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AC24C84"/>
    <w:multiLevelType w:val="hybridMultilevel"/>
    <w:tmpl w:val="B5F27B8C"/>
    <w:lvl w:ilvl="0" w:tplc="5CD49266">
      <w:start w:val="26"/>
      <w:numFmt w:val="bullet"/>
      <w:lvlText w:val="-"/>
      <w:lvlJc w:val="left"/>
      <w:pPr>
        <w:ind w:left="360" w:hanging="360"/>
      </w:pPr>
      <w:rPr>
        <w:rFonts w:ascii="Times New Roman" w:eastAsia="Arial Unicode MS"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4662A8"/>
    <w:multiLevelType w:val="hybridMultilevel"/>
    <w:tmpl w:val="FF482494"/>
    <w:lvl w:ilvl="0" w:tplc="3FE2257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6"/>
  </w:num>
  <w:num w:numId="3" w16cid:durableId="2035112073">
    <w:abstractNumId w:val="25"/>
  </w:num>
  <w:num w:numId="4" w16cid:durableId="1751928911">
    <w:abstractNumId w:val="12"/>
  </w:num>
  <w:num w:numId="5" w16cid:durableId="507794848">
    <w:abstractNumId w:val="37"/>
  </w:num>
  <w:num w:numId="6" w16cid:durableId="408158401">
    <w:abstractNumId w:val="7"/>
  </w:num>
  <w:num w:numId="7" w16cid:durableId="1128204917">
    <w:abstractNumId w:val="26"/>
  </w:num>
  <w:num w:numId="8" w16cid:durableId="1675454848">
    <w:abstractNumId w:val="8"/>
  </w:num>
  <w:num w:numId="9" w16cid:durableId="2121948387">
    <w:abstractNumId w:val="22"/>
  </w:num>
  <w:num w:numId="10" w16cid:durableId="1769693066">
    <w:abstractNumId w:val="19"/>
  </w:num>
  <w:num w:numId="11" w16cid:durableId="1094016901">
    <w:abstractNumId w:val="36"/>
  </w:num>
  <w:num w:numId="12" w16cid:durableId="361171771">
    <w:abstractNumId w:val="3"/>
  </w:num>
  <w:num w:numId="13" w16cid:durableId="158666698">
    <w:abstractNumId w:val="13"/>
  </w:num>
  <w:num w:numId="14" w16cid:durableId="2001420510">
    <w:abstractNumId w:val="32"/>
  </w:num>
  <w:num w:numId="15" w16cid:durableId="405616838">
    <w:abstractNumId w:val="24"/>
  </w:num>
  <w:num w:numId="16" w16cid:durableId="1485272394">
    <w:abstractNumId w:val="15"/>
  </w:num>
  <w:num w:numId="17" w16cid:durableId="465852916">
    <w:abstractNumId w:val="1"/>
  </w:num>
  <w:num w:numId="18" w16cid:durableId="530149964">
    <w:abstractNumId w:val="27"/>
  </w:num>
  <w:num w:numId="19" w16cid:durableId="877745854">
    <w:abstractNumId w:val="39"/>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4"/>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5"/>
  </w:num>
  <w:num w:numId="32" w16cid:durableId="569577880">
    <w:abstractNumId w:val="18"/>
  </w:num>
  <w:num w:numId="33" w16cid:durableId="504248329">
    <w:abstractNumId w:val="17"/>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1746495018">
    <w:abstractNumId w:val="11"/>
  </w:num>
  <w:num w:numId="39" w16cid:durableId="1885292540">
    <w:abstractNumId w:val="14"/>
  </w:num>
  <w:num w:numId="40" w16cid:durableId="168643963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43D"/>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6533C"/>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1B75"/>
    <w:rsid w:val="001F48B9"/>
    <w:rsid w:val="001F5EF7"/>
    <w:rsid w:val="002025B3"/>
    <w:rsid w:val="00204D95"/>
    <w:rsid w:val="00205A5F"/>
    <w:rsid w:val="00205D9F"/>
    <w:rsid w:val="00207939"/>
    <w:rsid w:val="0021313D"/>
    <w:rsid w:val="0021638A"/>
    <w:rsid w:val="002173B5"/>
    <w:rsid w:val="0021789A"/>
    <w:rsid w:val="00227717"/>
    <w:rsid w:val="00227EB3"/>
    <w:rsid w:val="0023322D"/>
    <w:rsid w:val="00234B99"/>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64E4"/>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2781"/>
    <w:rsid w:val="00373C33"/>
    <w:rsid w:val="003813DD"/>
    <w:rsid w:val="00381888"/>
    <w:rsid w:val="00381B3F"/>
    <w:rsid w:val="00385129"/>
    <w:rsid w:val="003862A3"/>
    <w:rsid w:val="00387736"/>
    <w:rsid w:val="00391305"/>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D65D8"/>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0B90"/>
    <w:rsid w:val="0058279C"/>
    <w:rsid w:val="00585E65"/>
    <w:rsid w:val="00587BE7"/>
    <w:rsid w:val="00590988"/>
    <w:rsid w:val="005947A6"/>
    <w:rsid w:val="00596E36"/>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4CE7"/>
    <w:rsid w:val="00655589"/>
    <w:rsid w:val="00656607"/>
    <w:rsid w:val="00656BCE"/>
    <w:rsid w:val="0066453F"/>
    <w:rsid w:val="00664A58"/>
    <w:rsid w:val="00667169"/>
    <w:rsid w:val="00667E0D"/>
    <w:rsid w:val="00672334"/>
    <w:rsid w:val="006745F3"/>
    <w:rsid w:val="006748DF"/>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49F8"/>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35D9"/>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4FA"/>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3B3A"/>
    <w:rsid w:val="009153C4"/>
    <w:rsid w:val="009169A2"/>
    <w:rsid w:val="00917FF0"/>
    <w:rsid w:val="0092072A"/>
    <w:rsid w:val="00921522"/>
    <w:rsid w:val="00927410"/>
    <w:rsid w:val="00931596"/>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3B69"/>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1C96"/>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D5AEE"/>
    <w:rsid w:val="00AD73BA"/>
    <w:rsid w:val="00AE0D3E"/>
    <w:rsid w:val="00AE1B01"/>
    <w:rsid w:val="00AF10D8"/>
    <w:rsid w:val="00AF491F"/>
    <w:rsid w:val="00AF517E"/>
    <w:rsid w:val="00AF5258"/>
    <w:rsid w:val="00AF5576"/>
    <w:rsid w:val="00B01643"/>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5A7"/>
    <w:rsid w:val="00EA06DD"/>
    <w:rsid w:val="00EA0FF5"/>
    <w:rsid w:val="00EA64C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59B0"/>
    <w:rsid w:val="00FA69EE"/>
    <w:rsid w:val="00FB185F"/>
    <w:rsid w:val="00FB247A"/>
    <w:rsid w:val="00FB2BD2"/>
    <w:rsid w:val="00FB326D"/>
    <w:rsid w:val="00FB4901"/>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B0164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cetina@omisalj.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jan.loncaric@omisalj.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pcina@omisalj.hr" TargetMode="External"/><Relationship Id="rId4" Type="http://schemas.openxmlformats.org/officeDocument/2006/relationships/settings" Target="settings.xml"/><Relationship Id="rId9" Type="http://schemas.openxmlformats.org/officeDocument/2006/relationships/hyperlink" Target="http://www.omisalj.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181E-1801-416B-A48A-437EA1F3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25265</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2024-08-16T11:27:00Z</cp:lastPrinted>
  <dcterms:created xsi:type="dcterms:W3CDTF">2024-09-02T11:26:00Z</dcterms:created>
  <dcterms:modified xsi:type="dcterms:W3CDTF">2024-09-02T11:26:00Z</dcterms:modified>
</cp:coreProperties>
</file>