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76F3F01A"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320BBB">
        <w:t>151</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6AAB3E07" w:rsidR="00F70FFE" w:rsidRPr="00826B5B" w:rsidRDefault="00FE0C1B" w:rsidP="00CF5ADC">
      <w:r>
        <w:t>Omišalj</w:t>
      </w:r>
      <w:r w:rsidR="00E54028">
        <w:t xml:space="preserve">, </w:t>
      </w:r>
      <w:r w:rsidR="00320BBB">
        <w:t>20. prosinca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034EBFB2" w:rsidR="00152942" w:rsidRDefault="00152942" w:rsidP="00CF5ADC">
            <w:pPr>
              <w:pStyle w:val="Header"/>
              <w:jc w:val="center"/>
              <w:rPr>
                <w:b/>
                <w:sz w:val="24"/>
                <w:szCs w:val="24"/>
              </w:rPr>
            </w:pPr>
            <w:r>
              <w:rPr>
                <w:b/>
                <w:sz w:val="24"/>
                <w:szCs w:val="24"/>
              </w:rPr>
              <w:t xml:space="preserve">Predmet nabave: </w:t>
            </w:r>
            <w:r w:rsidR="00320BBB" w:rsidRPr="00320BBB">
              <w:rPr>
                <w:bCs/>
                <w:sz w:val="24"/>
                <w:szCs w:val="24"/>
              </w:rPr>
              <w:t>Održavanje informatičke opreme u 2025. i 2026. godini</w:t>
            </w:r>
          </w:p>
          <w:p w14:paraId="2EB3DCCF" w14:textId="5228B6F5" w:rsidR="009020B0" w:rsidRDefault="00152942" w:rsidP="00CF5ADC">
            <w:pPr>
              <w:pStyle w:val="Header"/>
              <w:jc w:val="center"/>
              <w:rPr>
                <w:b/>
                <w:sz w:val="24"/>
                <w:szCs w:val="24"/>
              </w:rPr>
            </w:pPr>
            <w:r>
              <w:rPr>
                <w:b/>
                <w:sz w:val="24"/>
                <w:szCs w:val="24"/>
              </w:rPr>
              <w:t xml:space="preserve">Evidencijski broj nabave: </w:t>
            </w:r>
            <w:r w:rsidR="00320BBB">
              <w:rPr>
                <w:bCs/>
                <w:sz w:val="24"/>
                <w:szCs w:val="24"/>
              </w:rPr>
              <w:t>76/24</w:t>
            </w:r>
          </w:p>
          <w:p w14:paraId="13774AE0" w14:textId="41153531" w:rsidR="00152942" w:rsidRPr="00826B5B" w:rsidRDefault="00152942" w:rsidP="00CF5ADC">
            <w:pPr>
              <w:pStyle w:val="Header"/>
              <w:jc w:val="center"/>
              <w:rPr>
                <w:b/>
                <w:sz w:val="24"/>
                <w:szCs w:val="24"/>
              </w:rPr>
            </w:pPr>
            <w:r>
              <w:rPr>
                <w:b/>
                <w:sz w:val="24"/>
                <w:szCs w:val="24"/>
              </w:rPr>
              <w:t xml:space="preserve">CPV oznaka: </w:t>
            </w:r>
            <w:r w:rsidR="00320BBB" w:rsidRPr="00320BBB">
              <w:rPr>
                <w:bCs/>
                <w:sz w:val="24"/>
                <w:szCs w:val="24"/>
              </w:rPr>
              <w:t>50312000 - Održavanje i popravak računalne opreme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53194C9" w:rsidR="004F51A4" w:rsidRDefault="00320BBB" w:rsidP="00CF5ADC">
      <w:pPr>
        <w:rPr>
          <w:color w:val="000000"/>
        </w:rPr>
      </w:pPr>
      <w:r>
        <w:rPr>
          <w:color w:val="000000"/>
        </w:rPr>
        <w:t>76/24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77F4162E" w:rsidR="004F51A4" w:rsidRPr="00C64053" w:rsidRDefault="00320BBB" w:rsidP="00CF5ADC">
      <w:r>
        <w:t>12.000,00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15C78124" w14:textId="77777777" w:rsidR="00606DB4" w:rsidRDefault="00606DB4" w:rsidP="00606DB4">
      <w:pPr>
        <w:contextualSpacing/>
        <w:jc w:val="both"/>
        <w:rPr>
          <w:b/>
        </w:rPr>
      </w:pPr>
    </w:p>
    <w:p w14:paraId="737C60A7" w14:textId="21B1ED50" w:rsidR="00606DB4" w:rsidRDefault="00606DB4" w:rsidP="00606DB4">
      <w:pPr>
        <w:contextualSpacing/>
        <w:jc w:val="both"/>
      </w:pPr>
      <w:r w:rsidRPr="00606DB4">
        <w:rPr>
          <w:bCs/>
        </w:rPr>
        <w:t>U</w:t>
      </w:r>
      <w:r w:rsidRPr="0036341A">
        <w:rPr>
          <w:bCs/>
        </w:rPr>
        <w:t>sluge</w:t>
      </w:r>
      <w:r w:rsidRPr="0036341A">
        <w:t xml:space="preserve"> preventivnog i redovitog održavanja informatičke opreme i softvera u računalnom sustavu i na adresi Naručitelja sa svrhom osiguranja nesmetanog i neprekidnog odvijanja poslovnih procesa, što podrazumijeva sljedeće poslove:</w:t>
      </w:r>
    </w:p>
    <w:p w14:paraId="3B5C6A6D" w14:textId="77777777" w:rsidR="00606DB4" w:rsidRPr="0036341A" w:rsidRDefault="00606DB4" w:rsidP="00606DB4">
      <w:pPr>
        <w:numPr>
          <w:ilvl w:val="0"/>
          <w:numId w:val="41"/>
        </w:numPr>
        <w:suppressAutoHyphens/>
        <w:jc w:val="both"/>
      </w:pPr>
      <w:r w:rsidRPr="0036341A">
        <w:t xml:space="preserve">održavanje osobnih i prijenosnih računala te </w:t>
      </w:r>
      <w:r>
        <w:t>pripadajuće periferne opreme</w:t>
      </w:r>
    </w:p>
    <w:p w14:paraId="636BAB11" w14:textId="6E7604B7" w:rsidR="00606DB4" w:rsidRPr="0036341A" w:rsidRDefault="00606DB4" w:rsidP="00606DB4">
      <w:pPr>
        <w:numPr>
          <w:ilvl w:val="0"/>
          <w:numId w:val="41"/>
        </w:numPr>
        <w:suppressAutoHyphens/>
        <w:jc w:val="both"/>
      </w:pPr>
      <w:r w:rsidRPr="0036341A">
        <w:t>održavanje serverske infrastrukture</w:t>
      </w:r>
      <w:r>
        <w:t xml:space="preserve"> te pripadajuće opreme</w:t>
      </w:r>
    </w:p>
    <w:p w14:paraId="348E925A" w14:textId="77777777" w:rsidR="00606DB4" w:rsidRPr="0036341A" w:rsidRDefault="00606DB4" w:rsidP="00606DB4">
      <w:pPr>
        <w:numPr>
          <w:ilvl w:val="0"/>
          <w:numId w:val="41"/>
        </w:numPr>
        <w:suppressAutoHyphens/>
        <w:jc w:val="both"/>
      </w:pPr>
      <w:r w:rsidRPr="0036341A">
        <w:t>održavanje računalnih mreža</w:t>
      </w:r>
    </w:p>
    <w:p w14:paraId="5C91651B" w14:textId="77777777" w:rsidR="00606DB4" w:rsidRPr="0036341A" w:rsidRDefault="00606DB4" w:rsidP="00606DB4">
      <w:pPr>
        <w:numPr>
          <w:ilvl w:val="0"/>
          <w:numId w:val="41"/>
        </w:numPr>
        <w:suppressAutoHyphens/>
        <w:jc w:val="both"/>
      </w:pPr>
      <w:r w:rsidRPr="0036341A">
        <w:t>automatsko nadgledanje serverske infrastrukture</w:t>
      </w:r>
    </w:p>
    <w:p w14:paraId="50E0918D" w14:textId="77777777" w:rsidR="00606DB4" w:rsidRPr="0036341A" w:rsidRDefault="00606DB4" w:rsidP="00606DB4">
      <w:pPr>
        <w:numPr>
          <w:ilvl w:val="0"/>
          <w:numId w:val="41"/>
        </w:numPr>
        <w:suppressAutoHyphens/>
        <w:jc w:val="both"/>
      </w:pPr>
      <w:r w:rsidRPr="0036341A">
        <w:t>daljinsk</w:t>
      </w:r>
      <w:r>
        <w:t>a</w:t>
      </w:r>
      <w:r w:rsidRPr="0036341A">
        <w:t xml:space="preserve"> kontrol</w:t>
      </w:r>
      <w:r>
        <w:t>a</w:t>
      </w:r>
      <w:r w:rsidRPr="0036341A">
        <w:t xml:space="preserve"> i podešavanje rada računala</w:t>
      </w:r>
    </w:p>
    <w:p w14:paraId="523CB8C5" w14:textId="24D2DE40" w:rsidR="00606DB4" w:rsidRPr="0036341A" w:rsidRDefault="00606DB4" w:rsidP="00606DB4">
      <w:pPr>
        <w:numPr>
          <w:ilvl w:val="0"/>
          <w:numId w:val="41"/>
        </w:numPr>
        <w:jc w:val="both"/>
      </w:pPr>
      <w:r w:rsidRPr="0036341A">
        <w:t>podršk</w:t>
      </w:r>
      <w:r>
        <w:t>a</w:t>
      </w:r>
      <w:r w:rsidRPr="0036341A">
        <w:t xml:space="preserve"> unutar redovnog radnog vremena </w:t>
      </w:r>
      <w:r w:rsidRPr="00B845FD">
        <w:t>Naručitelja</w:t>
      </w:r>
    </w:p>
    <w:p w14:paraId="7E8942A4" w14:textId="77777777" w:rsidR="00606DB4" w:rsidRPr="0036341A" w:rsidRDefault="00606DB4" w:rsidP="00606DB4">
      <w:pPr>
        <w:numPr>
          <w:ilvl w:val="0"/>
          <w:numId w:val="41"/>
        </w:numPr>
        <w:suppressAutoHyphens/>
        <w:jc w:val="both"/>
      </w:pPr>
      <w:r w:rsidRPr="0036341A">
        <w:t>izlazak na lokaciju Naručitelja po pozivu</w:t>
      </w:r>
    </w:p>
    <w:p w14:paraId="72CE8F0D" w14:textId="77777777" w:rsidR="00606DB4" w:rsidRPr="0036341A" w:rsidRDefault="00606DB4" w:rsidP="00606DB4">
      <w:pPr>
        <w:numPr>
          <w:ilvl w:val="0"/>
          <w:numId w:val="41"/>
        </w:numPr>
        <w:suppressAutoHyphens/>
        <w:jc w:val="both"/>
      </w:pPr>
      <w:r w:rsidRPr="0036341A">
        <w:t>otklanjanje kvarova i nedostataka u radu</w:t>
      </w:r>
    </w:p>
    <w:p w14:paraId="7952E120" w14:textId="31D2E783" w:rsidR="00606DB4" w:rsidRPr="00B845FD" w:rsidRDefault="00606DB4" w:rsidP="00606DB4">
      <w:pPr>
        <w:numPr>
          <w:ilvl w:val="0"/>
          <w:numId w:val="41"/>
        </w:numPr>
        <w:suppressAutoHyphens/>
        <w:jc w:val="both"/>
      </w:pPr>
      <w:r w:rsidRPr="0036341A">
        <w:t xml:space="preserve">obavještavanje Naručitelja o potrebi za mijenjanjem dijelova sustava i </w:t>
      </w:r>
      <w:r w:rsidRPr="0010207A">
        <w:t xml:space="preserve">opreme, te savjetovanje u svezi sa </w:t>
      </w:r>
      <w:r w:rsidR="00513743">
        <w:t>dobavom</w:t>
      </w:r>
      <w:r w:rsidRPr="0010207A">
        <w:t xml:space="preserve"> potrebnih </w:t>
      </w:r>
      <w:r>
        <w:t>komponenti i opreme</w:t>
      </w:r>
    </w:p>
    <w:p w14:paraId="7B938F1E" w14:textId="77777777" w:rsidR="00606DB4" w:rsidRPr="00B845FD" w:rsidRDefault="00606DB4" w:rsidP="00606DB4">
      <w:pPr>
        <w:numPr>
          <w:ilvl w:val="0"/>
          <w:numId w:val="41"/>
        </w:numPr>
        <w:suppressAutoHyphens/>
        <w:jc w:val="both"/>
      </w:pPr>
      <w:r w:rsidRPr="0036341A">
        <w:t>nadogradnj</w:t>
      </w:r>
      <w:r>
        <w:t>a</w:t>
      </w:r>
      <w:r w:rsidRPr="0036341A">
        <w:t xml:space="preserve"> računalne opreme</w:t>
      </w:r>
    </w:p>
    <w:p w14:paraId="66E673E6" w14:textId="77777777" w:rsidR="00606DB4" w:rsidRPr="0036341A" w:rsidRDefault="00606DB4" w:rsidP="00606DB4">
      <w:pPr>
        <w:numPr>
          <w:ilvl w:val="0"/>
          <w:numId w:val="41"/>
        </w:numPr>
        <w:suppressAutoHyphens/>
        <w:jc w:val="both"/>
      </w:pPr>
      <w:r w:rsidRPr="0036341A">
        <w:t>nabav</w:t>
      </w:r>
      <w:r>
        <w:t>a</w:t>
      </w:r>
      <w:r w:rsidRPr="0036341A">
        <w:t xml:space="preserve"> i ugradnj</w:t>
      </w:r>
      <w:r>
        <w:t>a</w:t>
      </w:r>
      <w:r w:rsidRPr="0036341A">
        <w:t xml:space="preserve"> osnovnih komponenata i potrošnog materijala</w:t>
      </w:r>
    </w:p>
    <w:p w14:paraId="31F91E17" w14:textId="77777777" w:rsidR="00606DB4" w:rsidRDefault="00606DB4" w:rsidP="00606DB4">
      <w:pPr>
        <w:numPr>
          <w:ilvl w:val="0"/>
          <w:numId w:val="41"/>
        </w:numPr>
        <w:suppressAutoHyphens/>
        <w:jc w:val="both"/>
      </w:pPr>
      <w:r w:rsidRPr="0036341A">
        <w:t>instalaci</w:t>
      </w:r>
      <w:r>
        <w:t xml:space="preserve">ja </w:t>
      </w:r>
      <w:r w:rsidRPr="0036341A">
        <w:t xml:space="preserve">i podešavanje operativnog sustava, te </w:t>
      </w:r>
      <w:r>
        <w:t>programa</w:t>
      </w:r>
      <w:r w:rsidRPr="0036341A">
        <w:t xml:space="preserve"> koj</w:t>
      </w:r>
      <w:r>
        <w:t>i</w:t>
      </w:r>
      <w:r w:rsidRPr="0036341A">
        <w:t xml:space="preserve"> dolaz</w:t>
      </w:r>
      <w:r>
        <w:t>e</w:t>
      </w:r>
      <w:r w:rsidRPr="0036341A">
        <w:t xml:space="preserve"> uz operativni sustav</w:t>
      </w:r>
    </w:p>
    <w:p w14:paraId="3D042289" w14:textId="3221A3C4" w:rsidR="00606DB4" w:rsidRDefault="00606DB4" w:rsidP="00606DB4">
      <w:pPr>
        <w:numPr>
          <w:ilvl w:val="0"/>
          <w:numId w:val="41"/>
        </w:numPr>
        <w:suppressAutoHyphens/>
        <w:jc w:val="both"/>
      </w:pPr>
      <w:r>
        <w:t>instalacija i podešavanje upravljačkih programa računala i drugih uređaja, neovisno o tome jesu li isti u vlasništvu Naručitelja ili treće osobe (putem zakupa</w:t>
      </w:r>
      <w:r>
        <w:t>/najma</w:t>
      </w:r>
      <w:r>
        <w:t>)</w:t>
      </w:r>
    </w:p>
    <w:p w14:paraId="62ADB4DD" w14:textId="77777777" w:rsidR="00606DB4" w:rsidRPr="00200DCD" w:rsidRDefault="00606DB4" w:rsidP="00606DB4">
      <w:pPr>
        <w:numPr>
          <w:ilvl w:val="0"/>
          <w:numId w:val="41"/>
        </w:numPr>
        <w:suppressAutoHyphens/>
        <w:jc w:val="both"/>
      </w:pPr>
      <w:r>
        <w:t>instalacija i podešavanje drugog softvera na zahtjev Naručitelja</w:t>
      </w:r>
    </w:p>
    <w:p w14:paraId="3D006CFC" w14:textId="77777777" w:rsidR="00606DB4" w:rsidRDefault="00606DB4" w:rsidP="00606DB4">
      <w:pPr>
        <w:numPr>
          <w:ilvl w:val="0"/>
          <w:numId w:val="41"/>
        </w:numPr>
        <w:suppressAutoHyphens/>
        <w:jc w:val="both"/>
      </w:pPr>
      <w:r>
        <w:t xml:space="preserve">konfiguracija elektroničke pošte u Microsoft Outlook-u sukladno uputama Naručitelja te </w:t>
      </w:r>
      <w:r w:rsidRPr="00831F1B">
        <w:t>poslužitelja</w:t>
      </w:r>
      <w:r>
        <w:t xml:space="preserve"> usluge</w:t>
      </w:r>
    </w:p>
    <w:p w14:paraId="5461CC33" w14:textId="77777777" w:rsidR="00606DB4" w:rsidRDefault="00606DB4" w:rsidP="00606DB4">
      <w:pPr>
        <w:numPr>
          <w:ilvl w:val="0"/>
          <w:numId w:val="41"/>
        </w:numPr>
        <w:suppressAutoHyphens/>
        <w:jc w:val="both"/>
      </w:pPr>
      <w:r>
        <w:t>konzultacije i instalacija softvera kod povezivanja informatičkog sustava Naručitelja s mobilnim uređajima djelatnika Naručitelja</w:t>
      </w:r>
    </w:p>
    <w:p w14:paraId="46E39366" w14:textId="77777777" w:rsidR="00606DB4" w:rsidRPr="0036341A" w:rsidRDefault="00606DB4" w:rsidP="00606DB4">
      <w:pPr>
        <w:numPr>
          <w:ilvl w:val="0"/>
          <w:numId w:val="41"/>
        </w:numPr>
        <w:suppressAutoHyphens/>
        <w:jc w:val="both"/>
      </w:pPr>
      <w:r>
        <w:t>podrška pri radu s raznim javnim i e-servisima (FINA, e-Građani, instalacija povezanog softvera, certifikata i sl.)</w:t>
      </w:r>
    </w:p>
    <w:p w14:paraId="239A85DA" w14:textId="77777777" w:rsidR="00606DB4" w:rsidRPr="0036341A" w:rsidRDefault="00606DB4" w:rsidP="00606DB4">
      <w:pPr>
        <w:numPr>
          <w:ilvl w:val="0"/>
          <w:numId w:val="41"/>
        </w:numPr>
        <w:jc w:val="both"/>
      </w:pPr>
      <w:r w:rsidRPr="0036341A">
        <w:t>konzultacije, pomoć, savjet</w:t>
      </w:r>
      <w:r>
        <w:t>i</w:t>
      </w:r>
      <w:r w:rsidRPr="0036341A">
        <w:t xml:space="preserve"> i intervencije u korištenju informatičke opreme</w:t>
      </w:r>
    </w:p>
    <w:p w14:paraId="7A0DAED8" w14:textId="77777777" w:rsidR="00606DB4" w:rsidRPr="0036341A" w:rsidRDefault="00606DB4" w:rsidP="00606DB4">
      <w:pPr>
        <w:numPr>
          <w:ilvl w:val="0"/>
          <w:numId w:val="41"/>
        </w:numPr>
        <w:suppressAutoHyphens/>
        <w:jc w:val="both"/>
      </w:pPr>
      <w:r w:rsidRPr="0036341A">
        <w:t>savjetovanje Naručitelja vezano uz područje kibernetičke zaštite</w:t>
      </w:r>
    </w:p>
    <w:p w14:paraId="79F98C93" w14:textId="77777777" w:rsidR="00606DB4" w:rsidRPr="0036341A" w:rsidRDefault="00606DB4" w:rsidP="00606DB4">
      <w:pPr>
        <w:numPr>
          <w:ilvl w:val="0"/>
          <w:numId w:val="41"/>
        </w:numPr>
        <w:suppressAutoHyphens/>
        <w:jc w:val="both"/>
      </w:pPr>
      <w:r w:rsidRPr="0036341A">
        <w:t>podešavanje i instalacij</w:t>
      </w:r>
      <w:r>
        <w:t>a</w:t>
      </w:r>
      <w:r w:rsidRPr="0036341A">
        <w:t xml:space="preserve"> antivirusnih programa</w:t>
      </w:r>
    </w:p>
    <w:p w14:paraId="7592EA32" w14:textId="77777777" w:rsidR="00606DB4" w:rsidRPr="0036341A" w:rsidRDefault="00606DB4" w:rsidP="00606DB4">
      <w:pPr>
        <w:numPr>
          <w:ilvl w:val="0"/>
          <w:numId w:val="41"/>
        </w:numPr>
        <w:suppressAutoHyphens/>
        <w:jc w:val="both"/>
      </w:pPr>
      <w:r w:rsidRPr="0036341A">
        <w:t>implementacij</w:t>
      </w:r>
      <w:r>
        <w:t>a</w:t>
      </w:r>
      <w:r w:rsidRPr="0036341A">
        <w:t xml:space="preserve"> naprednog </w:t>
      </w:r>
      <w:proofErr w:type="spellStart"/>
      <w:r w:rsidRPr="0036341A">
        <w:t>vatrozida</w:t>
      </w:r>
      <w:proofErr w:type="spellEnd"/>
      <w:r w:rsidRPr="0036341A">
        <w:t xml:space="preserve"> </w:t>
      </w:r>
      <w:r>
        <w:t>sukladno</w:t>
      </w:r>
      <w:r w:rsidRPr="0036341A">
        <w:t xml:space="preserve"> potrebama Naručitelja</w:t>
      </w:r>
    </w:p>
    <w:p w14:paraId="202F77AD" w14:textId="77777777" w:rsidR="00606DB4" w:rsidRPr="0036341A" w:rsidRDefault="00606DB4" w:rsidP="00606DB4">
      <w:pPr>
        <w:numPr>
          <w:ilvl w:val="0"/>
          <w:numId w:val="41"/>
        </w:numPr>
        <w:suppressAutoHyphens/>
        <w:jc w:val="both"/>
      </w:pPr>
      <w:r w:rsidRPr="0036341A">
        <w:t>redovit</w:t>
      </w:r>
      <w:r>
        <w:t>i</w:t>
      </w:r>
      <w:r w:rsidRPr="0036341A">
        <w:t xml:space="preserve"> polugodišnj</w:t>
      </w:r>
      <w:r>
        <w:t>i</w:t>
      </w:r>
      <w:r w:rsidRPr="0036341A">
        <w:t xml:space="preserve"> pregled</w:t>
      </w:r>
      <w:r>
        <w:t>i</w:t>
      </w:r>
      <w:r w:rsidRPr="0036341A">
        <w:t xml:space="preserve"> informatičkog sustava i opreme</w:t>
      </w:r>
    </w:p>
    <w:p w14:paraId="580EF6E5" w14:textId="2C4BCBEE" w:rsidR="00606DB4" w:rsidRPr="0036341A" w:rsidRDefault="00606DB4" w:rsidP="00606DB4">
      <w:pPr>
        <w:numPr>
          <w:ilvl w:val="0"/>
          <w:numId w:val="41"/>
        </w:numPr>
        <w:suppressAutoHyphens/>
        <w:jc w:val="both"/>
      </w:pPr>
      <w:r>
        <w:t xml:space="preserve">redoviti </w:t>
      </w:r>
      <w:r w:rsidRPr="0036341A">
        <w:t>polugodišnji detaljni pregled</w:t>
      </w:r>
      <w:r>
        <w:t>i</w:t>
      </w:r>
      <w:r w:rsidRPr="0036341A">
        <w:t xml:space="preserve"> serverske infrastrukture</w:t>
      </w:r>
    </w:p>
    <w:p w14:paraId="5122A13B" w14:textId="26A77A2F" w:rsidR="00606DB4" w:rsidRPr="008415CF" w:rsidRDefault="00606DB4" w:rsidP="00606DB4">
      <w:pPr>
        <w:numPr>
          <w:ilvl w:val="0"/>
          <w:numId w:val="41"/>
        </w:numPr>
        <w:suppressAutoHyphens/>
        <w:jc w:val="both"/>
      </w:pPr>
      <w:r w:rsidRPr="0036341A">
        <w:lastRenderedPageBreak/>
        <w:t>suradnj</w:t>
      </w:r>
      <w:r>
        <w:t>a</w:t>
      </w:r>
      <w:r w:rsidRPr="0036341A">
        <w:t xml:space="preserve"> s novim </w:t>
      </w:r>
      <w:r>
        <w:t>održavateljem</w:t>
      </w:r>
      <w:r w:rsidRPr="0036341A">
        <w:t xml:space="preserve"> i predaj</w:t>
      </w:r>
      <w:r>
        <w:t>a</w:t>
      </w:r>
      <w:r w:rsidRPr="0036341A">
        <w:t xml:space="preserve"> svih relevantnih podataka istom </w:t>
      </w:r>
      <w:r>
        <w:t>u slučaju</w:t>
      </w:r>
      <w:r w:rsidRPr="0036341A">
        <w:t xml:space="preserve"> </w:t>
      </w:r>
      <w:r w:rsidR="00FA16C2">
        <w:t>promjene održavatelja</w:t>
      </w:r>
      <w:r w:rsidRPr="0036341A">
        <w:t xml:space="preserve"> </w:t>
      </w:r>
      <w:r>
        <w:t xml:space="preserve">po </w:t>
      </w:r>
      <w:r w:rsidR="00FA16C2">
        <w:t xml:space="preserve">raskidu, odnosno </w:t>
      </w:r>
      <w:r w:rsidRPr="0036341A">
        <w:t xml:space="preserve">isteku </w:t>
      </w:r>
      <w:r>
        <w:rPr>
          <w:bCs/>
        </w:rPr>
        <w:t>važenja okvirnog sporazuma</w:t>
      </w:r>
      <w:r w:rsidR="00FA16C2">
        <w:rPr>
          <w:bCs/>
        </w:rPr>
        <w:t xml:space="preserve"> ili </w:t>
      </w:r>
      <w:r>
        <w:rPr>
          <w:bCs/>
        </w:rPr>
        <w:t>posljednjeg ugovora sklopljenog temeljem okvirnog sporazuma</w:t>
      </w:r>
      <w:r w:rsidRPr="008415CF">
        <w:t>.</w:t>
      </w:r>
    </w:p>
    <w:p w14:paraId="4588AF65" w14:textId="77777777" w:rsidR="00606DB4" w:rsidRPr="0036341A" w:rsidRDefault="00606DB4" w:rsidP="00606DB4">
      <w:pPr>
        <w:contextualSpacing/>
        <w:jc w:val="both"/>
        <w:rPr>
          <w:bCs/>
        </w:rPr>
      </w:pPr>
    </w:p>
    <w:p w14:paraId="70301D3D" w14:textId="77777777" w:rsidR="00FA16C2" w:rsidRDefault="00FA16C2" w:rsidP="00FA16C2">
      <w:pPr>
        <w:contextualSpacing/>
        <w:jc w:val="both"/>
      </w:pPr>
      <w:r w:rsidRPr="0036341A">
        <w:t xml:space="preserve">Informatička oprema koja je predmet usluga održavanja </w:t>
      </w:r>
      <w:r>
        <w:t>jest:</w:t>
      </w:r>
    </w:p>
    <w:p w14:paraId="00DEA4E7" w14:textId="77777777" w:rsidR="00FA16C2" w:rsidRPr="00C9495E" w:rsidRDefault="00FA16C2" w:rsidP="00FA16C2">
      <w:pPr>
        <w:pStyle w:val="ListParagraph"/>
        <w:numPr>
          <w:ilvl w:val="0"/>
          <w:numId w:val="41"/>
        </w:numPr>
        <w:contextualSpacing/>
        <w:jc w:val="both"/>
        <w:rPr>
          <w:sz w:val="24"/>
          <w:szCs w:val="24"/>
        </w:rPr>
      </w:pPr>
      <w:r w:rsidRPr="00C9495E">
        <w:rPr>
          <w:bCs/>
          <w:sz w:val="24"/>
          <w:szCs w:val="24"/>
        </w:rPr>
        <w:t>17 (sedamnaest) osobnih računala</w:t>
      </w:r>
    </w:p>
    <w:p w14:paraId="7868E025" w14:textId="77777777" w:rsidR="00FA16C2" w:rsidRPr="00C9495E" w:rsidRDefault="00FA16C2" w:rsidP="00FA16C2">
      <w:pPr>
        <w:pStyle w:val="ListParagraph"/>
        <w:numPr>
          <w:ilvl w:val="0"/>
          <w:numId w:val="41"/>
        </w:numPr>
        <w:contextualSpacing/>
        <w:jc w:val="both"/>
        <w:rPr>
          <w:sz w:val="24"/>
          <w:szCs w:val="24"/>
        </w:rPr>
      </w:pPr>
      <w:r w:rsidRPr="00C9495E">
        <w:rPr>
          <w:bCs/>
          <w:sz w:val="24"/>
          <w:szCs w:val="24"/>
        </w:rPr>
        <w:t>3 (tri) prijenosna računala</w:t>
      </w:r>
    </w:p>
    <w:p w14:paraId="6A6BEE6A" w14:textId="77777777" w:rsidR="00FA16C2" w:rsidRPr="00C9495E" w:rsidRDefault="00FA16C2" w:rsidP="00FA16C2">
      <w:pPr>
        <w:pStyle w:val="ListParagraph"/>
        <w:numPr>
          <w:ilvl w:val="0"/>
          <w:numId w:val="41"/>
        </w:numPr>
        <w:contextualSpacing/>
        <w:jc w:val="both"/>
        <w:rPr>
          <w:sz w:val="24"/>
          <w:szCs w:val="24"/>
        </w:rPr>
      </w:pPr>
      <w:r w:rsidRPr="00C9495E">
        <w:rPr>
          <w:bCs/>
          <w:sz w:val="24"/>
          <w:szCs w:val="24"/>
        </w:rPr>
        <w:t xml:space="preserve">2 (dva) fizička </w:t>
      </w:r>
      <w:r>
        <w:rPr>
          <w:bCs/>
          <w:sz w:val="24"/>
          <w:szCs w:val="24"/>
        </w:rPr>
        <w:t>servera</w:t>
      </w:r>
    </w:p>
    <w:p w14:paraId="49A6515E" w14:textId="77777777" w:rsidR="00FA16C2" w:rsidRPr="00C9495E" w:rsidRDefault="00FA16C2" w:rsidP="00FA16C2">
      <w:pPr>
        <w:pStyle w:val="ListParagraph"/>
        <w:numPr>
          <w:ilvl w:val="0"/>
          <w:numId w:val="41"/>
        </w:numPr>
        <w:contextualSpacing/>
        <w:jc w:val="both"/>
        <w:rPr>
          <w:sz w:val="24"/>
          <w:szCs w:val="24"/>
        </w:rPr>
      </w:pPr>
      <w:r w:rsidRPr="00C9495E">
        <w:rPr>
          <w:bCs/>
          <w:sz w:val="24"/>
          <w:szCs w:val="24"/>
        </w:rPr>
        <w:t xml:space="preserve">7 (sedam) virtualnih servera, </w:t>
      </w:r>
      <w:r>
        <w:rPr>
          <w:bCs/>
          <w:sz w:val="24"/>
          <w:szCs w:val="24"/>
        </w:rPr>
        <w:t>od čega su 2 (dva) neaktivna</w:t>
      </w:r>
    </w:p>
    <w:p w14:paraId="0C8C5C77" w14:textId="77777777" w:rsidR="00FA16C2" w:rsidRPr="00C9495E" w:rsidRDefault="00FA16C2" w:rsidP="00FA16C2">
      <w:pPr>
        <w:pStyle w:val="ListParagraph"/>
        <w:numPr>
          <w:ilvl w:val="0"/>
          <w:numId w:val="41"/>
        </w:numPr>
        <w:contextualSpacing/>
        <w:jc w:val="both"/>
        <w:rPr>
          <w:sz w:val="24"/>
          <w:szCs w:val="24"/>
        </w:rPr>
      </w:pPr>
      <w:r>
        <w:rPr>
          <w:bCs/>
          <w:sz w:val="24"/>
          <w:szCs w:val="24"/>
        </w:rPr>
        <w:t>ormar sa preklopnicima („</w:t>
      </w:r>
      <w:proofErr w:type="spellStart"/>
      <w:r>
        <w:rPr>
          <w:bCs/>
          <w:sz w:val="24"/>
          <w:szCs w:val="24"/>
        </w:rPr>
        <w:t>switchevima</w:t>
      </w:r>
      <w:proofErr w:type="spellEnd"/>
      <w:r>
        <w:rPr>
          <w:bCs/>
          <w:sz w:val="24"/>
          <w:szCs w:val="24"/>
        </w:rPr>
        <w:t>“)</w:t>
      </w:r>
    </w:p>
    <w:p w14:paraId="7FC4087C" w14:textId="6089A919" w:rsidR="00FA16C2" w:rsidRDefault="00FA16C2" w:rsidP="00FA16C2">
      <w:pPr>
        <w:pStyle w:val="ListParagraph"/>
        <w:numPr>
          <w:ilvl w:val="0"/>
          <w:numId w:val="41"/>
        </w:numPr>
        <w:contextualSpacing/>
        <w:jc w:val="both"/>
        <w:rPr>
          <w:sz w:val="24"/>
          <w:szCs w:val="24"/>
        </w:rPr>
      </w:pPr>
      <w:r w:rsidRPr="00C9495E">
        <w:rPr>
          <w:bCs/>
          <w:sz w:val="24"/>
          <w:szCs w:val="24"/>
        </w:rPr>
        <w:t>razn</w:t>
      </w:r>
      <w:r>
        <w:rPr>
          <w:bCs/>
          <w:sz w:val="24"/>
          <w:szCs w:val="24"/>
        </w:rPr>
        <w:t>a</w:t>
      </w:r>
      <w:r w:rsidRPr="00C9495E">
        <w:rPr>
          <w:bCs/>
          <w:sz w:val="24"/>
          <w:szCs w:val="24"/>
        </w:rPr>
        <w:t xml:space="preserve"> perifern</w:t>
      </w:r>
      <w:r>
        <w:rPr>
          <w:bCs/>
          <w:sz w:val="24"/>
          <w:szCs w:val="24"/>
        </w:rPr>
        <w:t>a</w:t>
      </w:r>
      <w:r w:rsidR="00513743">
        <w:rPr>
          <w:bCs/>
          <w:sz w:val="24"/>
          <w:szCs w:val="24"/>
        </w:rPr>
        <w:t xml:space="preserve">, </w:t>
      </w:r>
      <w:r w:rsidRPr="00C9495E">
        <w:rPr>
          <w:bCs/>
          <w:sz w:val="24"/>
          <w:szCs w:val="24"/>
        </w:rPr>
        <w:t>mrežn</w:t>
      </w:r>
      <w:r>
        <w:rPr>
          <w:bCs/>
          <w:sz w:val="24"/>
          <w:szCs w:val="24"/>
        </w:rPr>
        <w:t>a</w:t>
      </w:r>
      <w:r w:rsidRPr="00C9495E">
        <w:rPr>
          <w:bCs/>
          <w:sz w:val="24"/>
          <w:szCs w:val="24"/>
        </w:rPr>
        <w:t xml:space="preserve"> i komunikacijsk</w:t>
      </w:r>
      <w:r>
        <w:rPr>
          <w:bCs/>
          <w:sz w:val="24"/>
          <w:szCs w:val="24"/>
        </w:rPr>
        <w:t>a</w:t>
      </w:r>
      <w:r w:rsidRPr="00C9495E">
        <w:rPr>
          <w:bCs/>
          <w:sz w:val="24"/>
          <w:szCs w:val="24"/>
        </w:rPr>
        <w:t xml:space="preserve"> oprem</w:t>
      </w:r>
      <w:r>
        <w:rPr>
          <w:bCs/>
          <w:sz w:val="24"/>
          <w:szCs w:val="24"/>
        </w:rPr>
        <w:t>a</w:t>
      </w:r>
      <w:r w:rsidRPr="00C9495E">
        <w:rPr>
          <w:sz w:val="24"/>
          <w:szCs w:val="24"/>
        </w:rPr>
        <w:t>.</w:t>
      </w:r>
    </w:p>
    <w:p w14:paraId="47053557" w14:textId="77777777" w:rsidR="00C64053" w:rsidRDefault="00C64053" w:rsidP="00C64053"/>
    <w:p w14:paraId="04B58D35" w14:textId="372E7E7E" w:rsidR="00FA16C2" w:rsidRPr="00C9495E" w:rsidRDefault="00FA16C2" w:rsidP="00FA16C2">
      <w:pPr>
        <w:jc w:val="both"/>
      </w:pPr>
      <w:r>
        <w:t xml:space="preserve">Naručitelj sa danom raspisivanja ovog Poziva </w:t>
      </w:r>
      <w:r w:rsidR="00513743">
        <w:t xml:space="preserve">za potrebe redovnog poslovanja </w:t>
      </w:r>
      <w:r>
        <w:t xml:space="preserve">koristi </w:t>
      </w:r>
      <w:r w:rsidRPr="00AD05CA">
        <w:t>10 (deset) fotokopirnih uređaja, od čega je 7 (sedam) u najmu a 3 (tri) su vlasništvo Naručitelja</w:t>
      </w:r>
      <w:r>
        <w:t>. Odabrani ponuditelj je u sklopu predmeta nabave obvezan isključivo vršiti instalaciju i podešavanje upravljačkih programa predmetnih uređaja, dok sve druge usluge održavanja fotokopirnih aparata nisu obuhvaćene predmetom nabave, te će ih vršiti treća osoba.</w:t>
      </w:r>
    </w:p>
    <w:p w14:paraId="39B0B39D" w14:textId="77777777" w:rsidR="00FA16C2" w:rsidRDefault="00FA16C2" w:rsidP="00C64053"/>
    <w:p w14:paraId="63B036CC" w14:textId="3A7A641F" w:rsidR="00FA16C2" w:rsidRPr="0010207A" w:rsidRDefault="00FA16C2" w:rsidP="00FA1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sidRPr="002A71EB">
        <w:rPr>
          <w:color w:val="000000"/>
        </w:rPr>
        <w:t xml:space="preserve">Osim </w:t>
      </w:r>
      <w:r>
        <w:rPr>
          <w:color w:val="000000"/>
        </w:rPr>
        <w:t>prethodno</w:t>
      </w:r>
      <w:r>
        <w:rPr>
          <w:color w:val="000000"/>
        </w:rPr>
        <w:t xml:space="preserve"> navedene </w:t>
      </w:r>
      <w:r w:rsidRPr="002A71EB">
        <w:rPr>
          <w:color w:val="000000"/>
        </w:rPr>
        <w:t xml:space="preserve">informatičke opreme, </w:t>
      </w:r>
      <w:r>
        <w:rPr>
          <w:color w:val="000000"/>
        </w:rPr>
        <w:t>odabrani ponuditelj je dužan</w:t>
      </w:r>
      <w:r w:rsidRPr="002A71EB">
        <w:rPr>
          <w:color w:val="000000"/>
        </w:rPr>
        <w:t xml:space="preserve"> održavati svu dodatnu informatičku opremu koju Naručitelj pribavi tokom trajanja </w:t>
      </w:r>
      <w:r>
        <w:rPr>
          <w:color w:val="000000"/>
        </w:rPr>
        <w:t>okvirnog sporazuma</w:t>
      </w:r>
      <w:r w:rsidRPr="002A71EB">
        <w:rPr>
          <w:color w:val="000000"/>
        </w:rPr>
        <w:t>, bez naplate dodatne naknade.</w:t>
      </w:r>
      <w:r>
        <w:rPr>
          <w:color w:val="000000"/>
        </w:rPr>
        <w:t xml:space="preserve"> Iznimno od navedenog, u slučaju </w:t>
      </w:r>
      <w:r w:rsidRPr="002A71EB">
        <w:rPr>
          <w:color w:val="000000"/>
        </w:rPr>
        <w:t xml:space="preserve">da nabava </w:t>
      </w:r>
      <w:r w:rsidR="00513743">
        <w:rPr>
          <w:color w:val="000000"/>
        </w:rPr>
        <w:t>dodatnog hardvera ili softvera</w:t>
      </w:r>
      <w:r w:rsidRPr="002A71EB">
        <w:rPr>
          <w:color w:val="000000"/>
        </w:rPr>
        <w:t xml:space="preserve"> </w:t>
      </w:r>
      <w:r w:rsidR="00513743">
        <w:rPr>
          <w:color w:val="000000"/>
        </w:rPr>
        <w:t xml:space="preserve">koja za posljedicu ima </w:t>
      </w:r>
      <w:r w:rsidRPr="002A71EB">
        <w:rPr>
          <w:color w:val="000000"/>
        </w:rPr>
        <w:t>značajno povećanje obuhvata posla</w:t>
      </w:r>
      <w:r>
        <w:rPr>
          <w:color w:val="000000"/>
        </w:rPr>
        <w:t>, odabrani ponuditelj može zahtijevati povećanje mjesečnog paušala</w:t>
      </w:r>
      <w:r>
        <w:rPr>
          <w:color w:val="000000"/>
        </w:rPr>
        <w:t>, u kojem slučaju će se zaključiti dodatak okvirnom sporazumu</w:t>
      </w:r>
      <w:r>
        <w:rPr>
          <w:color w:val="000000"/>
        </w:rPr>
        <w:t>.</w:t>
      </w:r>
    </w:p>
    <w:p w14:paraId="7839FD1D" w14:textId="77777777" w:rsidR="00FA16C2" w:rsidRDefault="00FA16C2" w:rsidP="00C64053"/>
    <w:p w14:paraId="73F403F2" w14:textId="496487D2" w:rsidR="00D5549A" w:rsidRDefault="00390784" w:rsidP="00D5549A">
      <w:pPr>
        <w:tabs>
          <w:tab w:val="left" w:pos="-2160"/>
        </w:tabs>
        <w:jc w:val="both"/>
        <w:rPr>
          <w:color w:val="000000"/>
        </w:rPr>
      </w:pPr>
      <w:r w:rsidRPr="0010207A">
        <w:rPr>
          <w:color w:val="000000"/>
        </w:rPr>
        <w:t>Troškovnikom je predviđena točna količina usluga</w:t>
      </w:r>
      <w:bookmarkStart w:id="0" w:name="_Hlk121143812"/>
      <w:r w:rsidRPr="0010207A">
        <w:rPr>
          <w:color w:val="000000"/>
        </w:rPr>
        <w:t xml:space="preserve"> koje su predmet nabave.</w:t>
      </w:r>
      <w:bookmarkEnd w:id="0"/>
    </w:p>
    <w:p w14:paraId="1EE22D4F" w14:textId="77777777" w:rsidR="00390784" w:rsidRDefault="00390784" w:rsidP="00D5549A">
      <w:pPr>
        <w:tabs>
          <w:tab w:val="left" w:pos="-2160"/>
        </w:tabs>
        <w:jc w:val="both"/>
        <w:rPr>
          <w:color w:val="000000"/>
        </w:rPr>
      </w:pPr>
    </w:p>
    <w:p w14:paraId="3A3E1B40" w14:textId="19D935A3" w:rsidR="00D5549A" w:rsidRPr="00D5549A" w:rsidRDefault="00D5549A" w:rsidP="00D5549A">
      <w:pPr>
        <w:tabs>
          <w:tab w:val="left" w:pos="-2160"/>
        </w:tabs>
        <w:jc w:val="both"/>
        <w:rPr>
          <w:color w:val="000000"/>
        </w:rPr>
      </w:pPr>
      <w:r w:rsidRPr="00B13D8E">
        <w:rPr>
          <w:color w:val="000000"/>
        </w:rPr>
        <w:t xml:space="preserve">Ponuditelji su dužni u jedinične cijene iz ponudbenog Troškovnika uključiti sve troškove neophodne </w:t>
      </w:r>
      <w:r w:rsidRPr="00B13D8E">
        <w:rPr>
          <w:bCs/>
        </w:rPr>
        <w:t xml:space="preserve">za realizaciju predmeta nabave, poput troškova rada, prijevoza, </w:t>
      </w:r>
      <w:r>
        <w:rPr>
          <w:bCs/>
        </w:rPr>
        <w:t>osnovnog i potrošnog materijala, rezervnih i potrošnih dijelova</w:t>
      </w:r>
      <w:r w:rsidRPr="00B13D8E">
        <w:rPr>
          <w:bCs/>
        </w:rPr>
        <w:t>, montaže</w:t>
      </w:r>
      <w:r>
        <w:rPr>
          <w:bCs/>
        </w:rPr>
        <w:t xml:space="preserve"> i demontaže</w:t>
      </w:r>
      <w:r w:rsidRPr="00B13D8E">
        <w:rPr>
          <w:color w:val="000000"/>
        </w:rPr>
        <w:t xml:space="preserve">, softvera, licenci </w:t>
      </w:r>
      <w:r w:rsidRPr="00B13D8E">
        <w:rPr>
          <w:bCs/>
        </w:rPr>
        <w:t xml:space="preserve">i sl. </w:t>
      </w:r>
      <w:r w:rsidRPr="00B13D8E">
        <w:rPr>
          <w:color w:val="000000"/>
        </w:rPr>
        <w:t>Naknade iznad jediničnih cijena navedenih u ponudbenom Troškovniku neće se priznavati</w:t>
      </w:r>
      <w:r>
        <w:rPr>
          <w:color w:val="000000"/>
        </w:rPr>
        <w:t xml:space="preserve">, osim u </w:t>
      </w:r>
      <w:r w:rsidR="00390784">
        <w:rPr>
          <w:color w:val="000000"/>
        </w:rPr>
        <w:t>slučaju značajnog povećanja obujma posla, kako je prethodno opisano</w:t>
      </w:r>
      <w:r w:rsidRPr="00B13D8E">
        <w:rPr>
          <w:color w:val="000000"/>
        </w:rPr>
        <w:t>.</w:t>
      </w:r>
    </w:p>
    <w:p w14:paraId="5898EEBD" w14:textId="77777777" w:rsidR="00D5549A" w:rsidRDefault="00D5549A" w:rsidP="00C64053"/>
    <w:p w14:paraId="5AC1419C" w14:textId="079FF322" w:rsidR="00FA16C2" w:rsidRPr="0010207A" w:rsidRDefault="00FA16C2" w:rsidP="00FA16C2">
      <w:pPr>
        <w:jc w:val="both"/>
        <w:rPr>
          <w:color w:val="000000"/>
        </w:rPr>
      </w:pPr>
      <w:r w:rsidRPr="0010207A">
        <w:rPr>
          <w:color w:val="000000"/>
        </w:rPr>
        <w:t>Odabrani ponuditelj je dužan pružati uslugu na način koji osigurava da</w:t>
      </w:r>
      <w:r>
        <w:rPr>
          <w:color w:val="000000"/>
        </w:rPr>
        <w:t xml:space="preserve"> </w:t>
      </w:r>
      <w:r w:rsidRPr="0010207A">
        <w:rPr>
          <w:color w:val="000000"/>
        </w:rPr>
        <w:t>Naručitelju u trenucima potrebe na raspolaganju stoji adekvatna tehnološka ekspertiza potrebna za rješavanje aktualnog problema, što se osigurava uspostavom odgovarajućeg sustava za prijavu problema putem telefona</w:t>
      </w:r>
      <w:r>
        <w:rPr>
          <w:color w:val="000000"/>
        </w:rPr>
        <w:t>,</w:t>
      </w:r>
      <w:r w:rsidRPr="0010207A">
        <w:rPr>
          <w:color w:val="000000"/>
        </w:rPr>
        <w:t xml:space="preserve"> elektronske pošte</w:t>
      </w:r>
      <w:r>
        <w:rPr>
          <w:color w:val="000000"/>
        </w:rPr>
        <w:t>, web sučelja</w:t>
      </w:r>
      <w:r w:rsidRPr="0010207A">
        <w:rPr>
          <w:color w:val="000000"/>
        </w:rPr>
        <w:t xml:space="preserve"> </w:t>
      </w:r>
      <w:r>
        <w:rPr>
          <w:color w:val="000000"/>
        </w:rPr>
        <w:t>ili odgovarajuće aplikacije</w:t>
      </w:r>
      <w:r w:rsidRPr="0010207A">
        <w:rPr>
          <w:color w:val="000000"/>
        </w:rPr>
        <w:t>. Nastali problemi će se u pravilu otklanjati</w:t>
      </w:r>
      <w:r>
        <w:rPr>
          <w:color w:val="000000"/>
        </w:rPr>
        <w:t xml:space="preserve"> daljinskim pristupom, putem prikladnih</w:t>
      </w:r>
      <w:r w:rsidRPr="0010207A">
        <w:rPr>
          <w:color w:val="000000"/>
        </w:rPr>
        <w:t xml:space="preserve"> aplikacija (</w:t>
      </w:r>
      <w:proofErr w:type="spellStart"/>
      <w:r w:rsidRPr="0010207A">
        <w:rPr>
          <w:color w:val="000000"/>
        </w:rPr>
        <w:t>Team</w:t>
      </w:r>
      <w:r>
        <w:rPr>
          <w:color w:val="000000"/>
        </w:rPr>
        <w:t>V</w:t>
      </w:r>
      <w:r w:rsidRPr="0010207A">
        <w:rPr>
          <w:color w:val="000000"/>
        </w:rPr>
        <w:t>i</w:t>
      </w:r>
      <w:r>
        <w:rPr>
          <w:color w:val="000000"/>
        </w:rPr>
        <w:t>e</w:t>
      </w:r>
      <w:r w:rsidRPr="0010207A">
        <w:rPr>
          <w:color w:val="000000"/>
        </w:rPr>
        <w:t>wer</w:t>
      </w:r>
      <w:proofErr w:type="spellEnd"/>
      <w:r w:rsidRPr="0010207A">
        <w:rPr>
          <w:color w:val="000000"/>
        </w:rPr>
        <w:t xml:space="preserve">, </w:t>
      </w:r>
      <w:proofErr w:type="spellStart"/>
      <w:r w:rsidRPr="0010207A">
        <w:rPr>
          <w:color w:val="000000"/>
        </w:rPr>
        <w:t>AnyDesk</w:t>
      </w:r>
      <w:proofErr w:type="spellEnd"/>
      <w:r w:rsidRPr="0010207A">
        <w:rPr>
          <w:color w:val="000000"/>
        </w:rPr>
        <w:t xml:space="preserve"> i sl.), </w:t>
      </w:r>
      <w:r>
        <w:rPr>
          <w:color w:val="000000"/>
        </w:rPr>
        <w:t>te</w:t>
      </w:r>
      <w:r w:rsidRPr="0010207A">
        <w:rPr>
          <w:color w:val="000000"/>
        </w:rPr>
        <w:t xml:space="preserve"> po potrebi i izlaskom na lokaciju Naručitelja. </w:t>
      </w:r>
      <w:r w:rsidRPr="0010207A">
        <w:rPr>
          <w:b/>
          <w:bCs/>
          <w:color w:val="000000"/>
        </w:rPr>
        <w:t xml:space="preserve">Naručitelj zadržava pravo da, ukoliko to smatra potrebnim, odabranom ponuditelju naloži izlazak na lokaciju neovisno o prirodi problema, </w:t>
      </w:r>
      <w:r>
        <w:rPr>
          <w:b/>
          <w:bCs/>
          <w:color w:val="000000"/>
        </w:rPr>
        <w:t>po kojem nalogu je odabrani ponuditelj dužan postupiti u nalogom</w:t>
      </w:r>
      <w:r w:rsidRPr="0010207A">
        <w:rPr>
          <w:b/>
          <w:bCs/>
          <w:color w:val="000000"/>
        </w:rPr>
        <w:t xml:space="preserve"> predviđenom roku.</w:t>
      </w:r>
    </w:p>
    <w:p w14:paraId="3CE5E64F" w14:textId="77777777" w:rsidR="00FA16C2" w:rsidRDefault="00FA16C2" w:rsidP="00C64053"/>
    <w:p w14:paraId="56D0C45E" w14:textId="44BF3C2D" w:rsidR="00C97A80" w:rsidRDefault="00C97A80" w:rsidP="00C97A80">
      <w:pPr>
        <w:jc w:val="both"/>
        <w:rPr>
          <w:color w:val="000000"/>
        </w:rPr>
      </w:pPr>
      <w:r w:rsidRPr="00A17129">
        <w:t xml:space="preserve">Odabrani ponuditelj će </w:t>
      </w:r>
      <w:r>
        <w:t>usluge koje su predmet nabave</w:t>
      </w:r>
      <w:r w:rsidRPr="00A17129">
        <w:t xml:space="preserve"> </w:t>
      </w:r>
      <w:r>
        <w:t>realizirati</w:t>
      </w:r>
      <w:r w:rsidRPr="00A17129">
        <w:t xml:space="preserve"> u opsegu i </w:t>
      </w:r>
      <w:r w:rsidR="005C0584" w:rsidRPr="0010207A">
        <w:t xml:space="preserve">rokovima utvrđenima od strane Naručitelja, temeljem naloga ili prijave problema </w:t>
      </w:r>
      <w:r w:rsidR="00EB7920">
        <w:t xml:space="preserve">odaslane </w:t>
      </w:r>
      <w:r w:rsidR="005C0584" w:rsidRPr="0010207A">
        <w:t xml:space="preserve">putem </w:t>
      </w:r>
      <w:r w:rsidR="00EB7920">
        <w:t xml:space="preserve">odgovarajućeg sustava osiguranog od strane odabranog </w:t>
      </w:r>
      <w:r w:rsidR="005C0584" w:rsidRPr="0010207A">
        <w:t>ponuditelja</w:t>
      </w:r>
      <w:r w:rsidR="005C0584">
        <w:t>.</w:t>
      </w:r>
      <w:r w:rsidRPr="00DB7FA5">
        <w:t xml:space="preserve"> </w:t>
      </w:r>
      <w:r w:rsidRPr="00A17129">
        <w:rPr>
          <w:color w:val="000000"/>
        </w:rPr>
        <w:t>Vrijeme odaziva na nalog</w:t>
      </w:r>
      <w:r w:rsidR="00EB7920">
        <w:rPr>
          <w:color w:val="000000"/>
        </w:rPr>
        <w:t xml:space="preserve">/prijavu </w:t>
      </w:r>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 xml:space="preserve">od </w:t>
      </w:r>
      <w:r w:rsidR="00EB7920">
        <w:rPr>
          <w:b/>
          <w:bCs/>
          <w:color w:val="000000"/>
        </w:rPr>
        <w:t xml:space="preserve">slanja, </w:t>
      </w:r>
      <w:r w:rsidR="00EB7920" w:rsidRPr="0010207A">
        <w:t xml:space="preserve">a u hitnim slučajevima </w:t>
      </w:r>
      <w:r w:rsidR="00EB7920" w:rsidRPr="0010207A">
        <w:rPr>
          <w:b/>
          <w:bCs/>
        </w:rPr>
        <w:t>najviše</w:t>
      </w:r>
      <w:r w:rsidR="00EB7920" w:rsidRPr="0010207A">
        <w:t xml:space="preserve"> </w:t>
      </w:r>
      <w:r w:rsidR="00EB7920" w:rsidRPr="0010207A">
        <w:rPr>
          <w:b/>
          <w:bCs/>
        </w:rPr>
        <w:t>4 (četiri) sata od</w:t>
      </w:r>
      <w:r w:rsidR="00EB7920">
        <w:rPr>
          <w:b/>
          <w:bCs/>
        </w:rPr>
        <w:t xml:space="preserve"> slanja</w:t>
      </w:r>
      <w:r>
        <w:t xml:space="preserve">. </w:t>
      </w:r>
      <w:r w:rsidR="00FB0675" w:rsidRPr="0010207A">
        <w:t xml:space="preserve">Hitnim slučajem smatra se kvar ili zastoj u radu opreme </w:t>
      </w:r>
      <w:r w:rsidR="00FB0675">
        <w:t>ili</w:t>
      </w:r>
      <w:r w:rsidR="00FB0675" w:rsidRPr="007F1C48">
        <w:t xml:space="preserve"> prekid u radu programa</w:t>
      </w:r>
      <w:r w:rsidR="00FB0675">
        <w:t xml:space="preserve">, </w:t>
      </w:r>
      <w:r w:rsidR="00FB0675" w:rsidRPr="007F1C48">
        <w:t>koji uzrokuj</w:t>
      </w:r>
      <w:r w:rsidR="00FB0675">
        <w:t>u</w:t>
      </w:r>
      <w:r w:rsidR="00FB0675" w:rsidRPr="007F1C48">
        <w:t xml:space="preserve"> značajne posljedice na poslovni proces Naručitelja</w:t>
      </w:r>
      <w:r w:rsidR="00FB0675" w:rsidRPr="0010207A">
        <w:t xml:space="preserve">. </w:t>
      </w:r>
    </w:p>
    <w:p w14:paraId="19B3AFE4" w14:textId="77777777" w:rsidR="005C0584" w:rsidRDefault="005C0584" w:rsidP="005C0584">
      <w:pPr>
        <w:tabs>
          <w:tab w:val="left" w:pos="-2160"/>
        </w:tabs>
        <w:jc w:val="both"/>
        <w:rPr>
          <w:rFonts w:eastAsiaTheme="minorEastAsia"/>
          <w:b/>
          <w:bCs/>
          <w:lang w:eastAsia="zh-CN"/>
        </w:rPr>
      </w:pPr>
    </w:p>
    <w:p w14:paraId="45CFFAAE" w14:textId="2E8E071D" w:rsidR="00C97A80" w:rsidRPr="005C0584" w:rsidRDefault="005C0584" w:rsidP="005C0584">
      <w:pPr>
        <w:tabs>
          <w:tab w:val="left" w:pos="-2160"/>
        </w:tabs>
        <w:jc w:val="both"/>
        <w:rPr>
          <w:color w:val="000000"/>
        </w:rPr>
      </w:pPr>
      <w:r w:rsidRPr="00E87432">
        <w:rPr>
          <w:rFonts w:eastAsiaTheme="minorEastAsia"/>
          <w:b/>
          <w:bCs/>
          <w:lang w:eastAsia="zh-CN"/>
        </w:rPr>
        <w:lastRenderedPageBreak/>
        <w:t xml:space="preserve">Odabrani ponuditelj je obvezan, u roku od 15 (petnaest) dana od dana potpisivanja </w:t>
      </w:r>
      <w:r>
        <w:rPr>
          <w:rFonts w:eastAsiaTheme="minorEastAsia"/>
          <w:b/>
          <w:bCs/>
          <w:lang w:eastAsia="zh-CN"/>
        </w:rPr>
        <w:t>okvirnog sporazuma</w:t>
      </w:r>
      <w:r w:rsidRPr="00E87432">
        <w:rPr>
          <w:rFonts w:eastAsiaTheme="minorEastAsia"/>
          <w:b/>
          <w:bCs/>
          <w:lang w:eastAsia="zh-CN"/>
        </w:rPr>
        <w:t xml:space="preserve">, dostaviti Naručitelju jamstvo za uredno ispunjenje </w:t>
      </w:r>
      <w:r>
        <w:rPr>
          <w:rFonts w:eastAsiaTheme="minorEastAsia"/>
          <w:b/>
          <w:bCs/>
          <w:lang w:eastAsia="zh-CN"/>
        </w:rPr>
        <w:t>okvirnog sporazuma</w:t>
      </w:r>
      <w:r w:rsidRPr="00E87432">
        <w:rPr>
          <w:rFonts w:eastAsiaTheme="minorEastAsia"/>
          <w:b/>
          <w:bCs/>
          <w:lang w:eastAsia="zh-CN"/>
        </w:rPr>
        <w:t xml:space="preserve">, u iznosu od 10% (deset posto) vrijednosti </w:t>
      </w:r>
      <w:r>
        <w:rPr>
          <w:rFonts w:eastAsiaTheme="minorEastAsia"/>
          <w:b/>
          <w:bCs/>
          <w:lang w:eastAsia="zh-CN"/>
        </w:rPr>
        <w:t>okvirnog sporazuma</w:t>
      </w:r>
      <w:r w:rsidRPr="00E87432">
        <w:rPr>
          <w:rFonts w:eastAsiaTheme="minorEastAsia"/>
          <w:b/>
          <w:bCs/>
          <w:lang w:eastAsia="zh-CN"/>
        </w:rPr>
        <w:t xml:space="preserve"> (bez PDV-a). </w:t>
      </w:r>
      <w:r w:rsidRPr="00E87432">
        <w:rPr>
          <w:rFonts w:eastAsiaTheme="minorEastAsia"/>
          <w:lang w:eastAsia="zh-CN"/>
        </w:rPr>
        <w:t>Oblik jamstva i</w:t>
      </w:r>
      <w:r w:rsidRPr="00E87432">
        <w:rPr>
          <w:rFonts w:eastAsiaTheme="minorEastAsia"/>
          <w:b/>
          <w:bCs/>
          <w:lang w:eastAsia="zh-CN"/>
        </w:rPr>
        <w:t xml:space="preserve"> </w:t>
      </w:r>
      <w:r w:rsidRPr="00E87432">
        <w:rPr>
          <w:color w:val="000000"/>
        </w:rPr>
        <w:t>odredbe vezane za naplatu istog propisani su točkom 20. ovog Poziva.</w:t>
      </w:r>
    </w:p>
    <w:p w14:paraId="2A972D67" w14:textId="77777777" w:rsidR="00FA16C2" w:rsidRPr="00826B5B" w:rsidRDefault="00FA16C2" w:rsidP="00C64053"/>
    <w:p w14:paraId="2DDC1DA1" w14:textId="1102A907" w:rsidR="00C64053" w:rsidRPr="00826B5B" w:rsidRDefault="00C64053" w:rsidP="00C64053">
      <w:r w:rsidRPr="00826B5B">
        <w:t xml:space="preserve">CPV oznaka: </w:t>
      </w:r>
      <w:r w:rsidR="00320BBB" w:rsidRPr="00320BBB">
        <w:t>50312000 - Održavanje i popravak računalne opreme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B597D0E" w:rsidR="004F51A4" w:rsidRDefault="00320BBB" w:rsidP="00CF5ADC">
      <w:r>
        <w:t>Poslovni prostori odabranog ponuditelja te po potrebi poslovni prostori Naručitelja</w:t>
      </w:r>
      <w:r w:rsidR="001E4F83">
        <w:t>.</w:t>
      </w:r>
    </w:p>
    <w:p w14:paraId="5F4CF9ED" w14:textId="77777777" w:rsidR="004F51A4" w:rsidRPr="00826B5B" w:rsidRDefault="004F51A4" w:rsidP="00CF5ADC"/>
    <w:p w14:paraId="600EF2CE" w14:textId="77777777" w:rsidR="00320BBB" w:rsidRPr="00B13D8E" w:rsidRDefault="00320BBB" w:rsidP="00320BBB">
      <w:pPr>
        <w:pStyle w:val="ListParagraph"/>
        <w:numPr>
          <w:ilvl w:val="0"/>
          <w:numId w:val="27"/>
        </w:numPr>
        <w:shd w:val="clear" w:color="auto" w:fill="C6D9F1" w:themeFill="text2" w:themeFillTint="33"/>
        <w:rPr>
          <w:b/>
          <w:color w:val="000000"/>
          <w:sz w:val="24"/>
          <w:szCs w:val="24"/>
        </w:rPr>
      </w:pPr>
      <w:r w:rsidRPr="00B13D8E">
        <w:rPr>
          <w:b/>
          <w:color w:val="000000"/>
          <w:sz w:val="24"/>
          <w:szCs w:val="24"/>
        </w:rPr>
        <w:t xml:space="preserve">VRSTA I TRAJANJE </w:t>
      </w:r>
      <w:r>
        <w:rPr>
          <w:b/>
          <w:color w:val="000000"/>
          <w:sz w:val="24"/>
          <w:szCs w:val="24"/>
        </w:rPr>
        <w:t>OKVIRNOG SPORAZUMA/UGOVORA O NABAVI</w:t>
      </w:r>
    </w:p>
    <w:p w14:paraId="08685896" w14:textId="77777777" w:rsidR="00C815DD" w:rsidRPr="00826B5B" w:rsidRDefault="00C815DD" w:rsidP="00CF5ADC">
      <w:pPr>
        <w:rPr>
          <w:color w:val="000000"/>
        </w:rPr>
      </w:pPr>
    </w:p>
    <w:p w14:paraId="02E72512" w14:textId="611029DA" w:rsidR="00320BBB" w:rsidRPr="00B13D8E" w:rsidRDefault="00320BBB" w:rsidP="00320BBB">
      <w:pPr>
        <w:tabs>
          <w:tab w:val="left" w:pos="0"/>
        </w:tabs>
        <w:jc w:val="both"/>
        <w:rPr>
          <w:color w:val="000000"/>
        </w:rPr>
      </w:pPr>
      <w:r w:rsidRPr="00B13D8E">
        <w:rPr>
          <w:color w:val="000000"/>
        </w:rPr>
        <w:t xml:space="preserve">Temeljem provedenog postupka sklopit će se okvirni sporazum o nabavi </w:t>
      </w:r>
      <w:r w:rsidR="00FB0675">
        <w:rPr>
          <w:color w:val="000000"/>
        </w:rPr>
        <w:t>usluga</w:t>
      </w:r>
      <w:r w:rsidRPr="00B13D8E">
        <w:rPr>
          <w:color w:val="000000"/>
        </w:rPr>
        <w:t xml:space="preserve"> s jednim gospodarskim subjektom koji odabranog ponuditelja obvezuje na sklapanje godišnjih ugovora.</w:t>
      </w:r>
    </w:p>
    <w:p w14:paraId="7885D178" w14:textId="77777777" w:rsidR="00320BBB" w:rsidRPr="00B13D8E" w:rsidRDefault="00320BBB" w:rsidP="00320BBB">
      <w:pPr>
        <w:tabs>
          <w:tab w:val="left" w:pos="0"/>
        </w:tabs>
        <w:jc w:val="both"/>
        <w:rPr>
          <w:color w:val="000000"/>
        </w:rPr>
      </w:pPr>
    </w:p>
    <w:p w14:paraId="40C1CFB3" w14:textId="77777777" w:rsidR="00320BBB" w:rsidRPr="00B13D8E" w:rsidRDefault="00320BBB" w:rsidP="00320BBB">
      <w:pPr>
        <w:tabs>
          <w:tab w:val="left" w:pos="0"/>
        </w:tabs>
        <w:jc w:val="both"/>
        <w:rPr>
          <w:color w:val="000000"/>
        </w:rPr>
      </w:pPr>
      <w:r w:rsidRPr="00B13D8E">
        <w:rPr>
          <w:color w:val="000000"/>
        </w:rPr>
        <w:t>Okvirni sporazum se sklapa na razdoblje od 1. siječnja 2025. do 31. prosinca 2026. te se temeljem istog planira sklapanje 2 (dva) godišnja ugovora.</w:t>
      </w:r>
    </w:p>
    <w:p w14:paraId="6649CE2E" w14:textId="77777777" w:rsidR="00320BBB" w:rsidRPr="00B13D8E" w:rsidRDefault="00320BBB" w:rsidP="00320BBB">
      <w:pPr>
        <w:tabs>
          <w:tab w:val="left" w:pos="0"/>
        </w:tabs>
        <w:jc w:val="both"/>
        <w:rPr>
          <w:color w:val="000000"/>
        </w:rPr>
      </w:pPr>
    </w:p>
    <w:p w14:paraId="3877B7D8" w14:textId="77777777" w:rsidR="00320BBB" w:rsidRPr="00B13D8E" w:rsidRDefault="00320BBB" w:rsidP="00320BBB">
      <w:pPr>
        <w:tabs>
          <w:tab w:val="left" w:pos="0"/>
        </w:tabs>
        <w:jc w:val="both"/>
        <w:rPr>
          <w:color w:val="000000"/>
        </w:rPr>
      </w:pPr>
      <w:r w:rsidRPr="00B13D8E">
        <w:rPr>
          <w:color w:val="000000"/>
        </w:rPr>
        <w:t>Okvirni sporazum stupa na snagu s danom potpisa posljednje sporazumne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6463FF6E" w14:textId="77777777" w:rsidR="00D5549A" w:rsidRDefault="00D5549A" w:rsidP="00C64053">
      <w:pPr>
        <w:tabs>
          <w:tab w:val="left" w:pos="0"/>
        </w:tabs>
        <w:jc w:val="both"/>
        <w:rPr>
          <w:bCs/>
          <w:color w:val="000000"/>
          <w:highlight w:val="yellow"/>
        </w:rPr>
      </w:pPr>
    </w:p>
    <w:p w14:paraId="31FD0838" w14:textId="5626C853" w:rsidR="00D5549A" w:rsidRPr="00B13D8E" w:rsidRDefault="00D5549A" w:rsidP="00D5549A">
      <w:pPr>
        <w:tabs>
          <w:tab w:val="left" w:pos="0"/>
        </w:tabs>
        <w:jc w:val="both"/>
        <w:rPr>
          <w:bCs/>
          <w:color w:val="000000"/>
        </w:rPr>
      </w:pPr>
      <w:r w:rsidRPr="00D5549A">
        <w:rPr>
          <w:bCs/>
          <w:color w:val="000000"/>
        </w:rPr>
        <w:t>Obračun naknade za realizirane usluge vršit će se na mjesečnoj bazi, primjenom paušalne cijene iz Troškovnika.</w:t>
      </w:r>
      <w:r>
        <w:rPr>
          <w:bCs/>
          <w:color w:val="000000"/>
        </w:rPr>
        <w:t xml:space="preserve"> </w:t>
      </w:r>
      <w:r w:rsidRPr="00B13D8E">
        <w:rPr>
          <w:bCs/>
          <w:color w:val="000000"/>
        </w:rPr>
        <w:t xml:space="preserve">Plaćanje će se izvršiti u roku od 30 dana </w:t>
      </w:r>
      <w:r w:rsidRPr="00B13D8E">
        <w:rPr>
          <w:bCs/>
        </w:rPr>
        <w:t xml:space="preserve">od dana zaprimanja </w:t>
      </w:r>
      <w:r w:rsidRPr="00B13D8E">
        <w:rPr>
          <w:bCs/>
          <w:color w:val="000000"/>
        </w:rPr>
        <w:t xml:space="preserve">valjanog </w:t>
      </w:r>
      <w:r w:rsidRPr="00B13D8E">
        <w:t>elektroničkog računa (</w:t>
      </w:r>
      <w:proofErr w:type="spellStart"/>
      <w:r w:rsidRPr="00B13D8E">
        <w:t>eRačuna</w:t>
      </w:r>
      <w:proofErr w:type="spellEnd"/>
      <w:r w:rsidRPr="00B13D8E">
        <w:t>)</w:t>
      </w:r>
      <w:r>
        <w:t xml:space="preserve"> kojem odabrani ponuditelj obvezno prilaže </w:t>
      </w:r>
      <w:r w:rsidRPr="00472B06">
        <w:t xml:space="preserve">evidenciju s opisom poslova </w:t>
      </w:r>
      <w:r>
        <w:t>realiziranih</w:t>
      </w:r>
      <w:r w:rsidRPr="00472B06">
        <w:t xml:space="preserve"> u mjesecu na koji se račun odnosi</w:t>
      </w:r>
      <w:r w:rsidRPr="00B13D8E">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792AB75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FB0675">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4CED4095" w14:textId="44D376CF" w:rsidR="00FB0675" w:rsidRDefault="00FB0675">
      <w:r>
        <w:br w:type="page"/>
      </w: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lastRenderedPageBreak/>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320BBB" w:rsidRDefault="00C64053" w:rsidP="00C64053">
      <w:pPr>
        <w:pStyle w:val="ListParagraph"/>
        <w:numPr>
          <w:ilvl w:val="1"/>
          <w:numId w:val="27"/>
        </w:numPr>
        <w:tabs>
          <w:tab w:val="left" w:pos="0"/>
        </w:tabs>
        <w:jc w:val="both"/>
        <w:rPr>
          <w:b/>
          <w:bCs/>
          <w:sz w:val="24"/>
          <w:szCs w:val="24"/>
        </w:rPr>
      </w:pPr>
      <w:r w:rsidRPr="00320BBB">
        <w:rPr>
          <w:b/>
          <w:bCs/>
          <w:sz w:val="24"/>
          <w:szCs w:val="24"/>
        </w:rPr>
        <w:t>Popunjeni, potpisani i pečatom ovjereni Troškovnik</w:t>
      </w:r>
    </w:p>
    <w:p w14:paraId="34399D2B" w14:textId="77777777" w:rsidR="00C64053" w:rsidRPr="00320BBB" w:rsidRDefault="00C64053" w:rsidP="00C64053">
      <w:pPr>
        <w:tabs>
          <w:tab w:val="left" w:pos="0"/>
        </w:tabs>
        <w:jc w:val="both"/>
      </w:pPr>
      <w:r w:rsidRPr="00320BBB">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413CF579"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w:t>
      </w:r>
      <w:r w:rsidR="00C831FD">
        <w:rPr>
          <w:rFonts w:eastAsia="PMingLiU"/>
          <w:lang w:eastAsia="zh-TW"/>
        </w:rPr>
        <w:t>okvirni sporazum</w:t>
      </w:r>
      <w:r w:rsidR="00E307E5" w:rsidRPr="00826B5B">
        <w:rPr>
          <w:rFonts w:eastAsia="PMingLiU"/>
          <w:lang w:eastAsia="zh-TW"/>
        </w:rPr>
        <w:t xml:space="preserve">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4D16CB49" w:rsidR="0013210C" w:rsidRPr="00BC29C4" w:rsidRDefault="0013210C" w:rsidP="005B1B4C">
            <w:pPr>
              <w:jc w:val="center"/>
              <w:rPr>
                <w:b/>
                <w:bCs/>
                <w:color w:val="000000"/>
              </w:rPr>
            </w:pPr>
            <w:r w:rsidRPr="00BC29C4">
              <w:rPr>
                <w:b/>
                <w:bCs/>
                <w:color w:val="000000"/>
              </w:rPr>
              <w:t xml:space="preserve">Predmet nabave: </w:t>
            </w:r>
            <w:r w:rsidR="00320BBB" w:rsidRPr="00320BBB">
              <w:rPr>
                <w:b/>
              </w:rPr>
              <w:t>Održavanje informatičke opreme u 2025. i 2026. godini</w:t>
            </w:r>
          </w:p>
          <w:p w14:paraId="2A78CFDA" w14:textId="505A33A3"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320BBB">
              <w:rPr>
                <w:b/>
                <w:bCs/>
                <w:color w:val="000000"/>
              </w:rPr>
              <w:t>76/24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50A10E77" w:rsidR="0093172D" w:rsidRDefault="0093172D">
      <w:pPr>
        <w:rPr>
          <w:color w:val="000000"/>
        </w:rPr>
      </w:pPr>
      <w:r>
        <w:rPr>
          <w:color w:val="000000"/>
        </w:rPr>
        <w:br w:type="page"/>
      </w: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5EF67B7C" w:rsidR="0008372D" w:rsidRDefault="00AA3498" w:rsidP="00CF5ADC">
      <w:pPr>
        <w:jc w:val="both"/>
        <w:rPr>
          <w:color w:val="000000"/>
        </w:rPr>
      </w:pPr>
      <w:r w:rsidRPr="00826B5B">
        <w:rPr>
          <w:color w:val="000000"/>
        </w:rPr>
        <w:t xml:space="preserve">Kriterij odabira ponude je </w:t>
      </w:r>
      <w:r w:rsidR="00C64053" w:rsidRPr="00320BBB">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A092284" w:rsidR="00AA3498" w:rsidRPr="0008372D" w:rsidRDefault="00320BBB" w:rsidP="00AA3498">
      <w:pPr>
        <w:jc w:val="both"/>
        <w:rPr>
          <w:b/>
          <w:u w:val="single"/>
        </w:rPr>
      </w:pPr>
      <w:bookmarkStart w:id="4" w:name="_Hlk185335502"/>
      <w:r w:rsidRPr="00B13D8E">
        <w:rPr>
          <w:b/>
          <w:u w:val="single"/>
        </w:rPr>
        <w:t xml:space="preserve">30. prosinca </w:t>
      </w:r>
      <w:bookmarkEnd w:id="4"/>
      <w:r w:rsidRPr="00B13D8E">
        <w:rPr>
          <w:b/>
          <w:u w:val="single"/>
        </w:rPr>
        <w:t xml:space="preserve">2024. do </w:t>
      </w:r>
      <w:r>
        <w:rPr>
          <w:b/>
          <w:u w:val="single"/>
        </w:rPr>
        <w:t>14</w:t>
      </w:r>
      <w:r w:rsidRPr="00B13D8E">
        <w:rPr>
          <w:b/>
          <w:u w:val="single"/>
        </w:rPr>
        <w:t>:00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1FF2E57E" w:rsidR="001744E9" w:rsidRPr="001744E9" w:rsidRDefault="001744E9" w:rsidP="001744E9">
      <w:pPr>
        <w:jc w:val="both"/>
      </w:pPr>
      <w:r w:rsidRPr="001744E9">
        <w:t xml:space="preserve">Otvaranje ponuda održat će se </w:t>
      </w:r>
      <w:r w:rsidR="00320BBB" w:rsidRPr="00320BBB">
        <w:t xml:space="preserve">30. prosinca </w:t>
      </w:r>
      <w:r w:rsidRPr="001744E9">
        <w:t xml:space="preserve">2024. u </w:t>
      </w:r>
      <w:r w:rsidR="00320BBB">
        <w:t>14:00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77777777" w:rsidR="00A77A14" w:rsidRPr="00320BBB" w:rsidRDefault="00A77A14" w:rsidP="00A77A14">
      <w:pPr>
        <w:jc w:val="both"/>
      </w:pPr>
      <w:r w:rsidRPr="00320BBB">
        <w:t>Naručitelj će nakon donošenja Obavijesti o odabiru ponovno rangirati ponude sukladno kriteriju za odabir, ne uzimajući u obzir ponudu prvotno odabranog ponuditelja, te na temelju kriterija za odabir donijeti novu Obavijest o odabiru ili, ukoliko za to postoje opravdani razlozi, poništiti predmetni postupak nabave, ako prvotno odabrani ponuditelj:</w:t>
      </w:r>
    </w:p>
    <w:p w14:paraId="2D6A55BA" w14:textId="77777777" w:rsidR="00A77A14" w:rsidRPr="00320BBB" w:rsidRDefault="00A77A14" w:rsidP="00A77A14">
      <w:pPr>
        <w:pStyle w:val="ListParagraph"/>
        <w:numPr>
          <w:ilvl w:val="0"/>
          <w:numId w:val="36"/>
        </w:numPr>
        <w:jc w:val="both"/>
        <w:rPr>
          <w:sz w:val="24"/>
          <w:szCs w:val="24"/>
        </w:rPr>
      </w:pPr>
      <w:r w:rsidRPr="00320BBB">
        <w:rPr>
          <w:sz w:val="24"/>
          <w:szCs w:val="24"/>
        </w:rPr>
        <w:t>odustane od svoje ponude</w:t>
      </w:r>
    </w:p>
    <w:p w14:paraId="63677D7C" w14:textId="2D13861B" w:rsidR="00A77A14" w:rsidRPr="00320BBB" w:rsidRDefault="00A77A14" w:rsidP="00A77A14">
      <w:pPr>
        <w:pStyle w:val="ListParagraph"/>
        <w:numPr>
          <w:ilvl w:val="0"/>
          <w:numId w:val="36"/>
        </w:numPr>
        <w:jc w:val="both"/>
        <w:rPr>
          <w:sz w:val="24"/>
          <w:szCs w:val="24"/>
        </w:rPr>
      </w:pPr>
      <w:r w:rsidRPr="00320BBB">
        <w:rPr>
          <w:sz w:val="24"/>
          <w:szCs w:val="24"/>
        </w:rPr>
        <w:t xml:space="preserve">odbije potpisati </w:t>
      </w:r>
      <w:r w:rsidR="00320BBB" w:rsidRPr="00320BBB">
        <w:rPr>
          <w:sz w:val="24"/>
          <w:szCs w:val="24"/>
        </w:rPr>
        <w:t>okvirni sporazum</w:t>
      </w:r>
    </w:p>
    <w:p w14:paraId="1445F1BD" w14:textId="3A001D71" w:rsidR="00A77A14" w:rsidRPr="00320BBB" w:rsidRDefault="00A77A14" w:rsidP="00A77A14">
      <w:pPr>
        <w:pStyle w:val="ListParagraph"/>
        <w:numPr>
          <w:ilvl w:val="0"/>
          <w:numId w:val="36"/>
        </w:numPr>
        <w:jc w:val="both"/>
        <w:rPr>
          <w:sz w:val="24"/>
          <w:szCs w:val="24"/>
        </w:rPr>
      </w:pPr>
      <w:r w:rsidRPr="00320BBB">
        <w:rPr>
          <w:sz w:val="24"/>
          <w:szCs w:val="24"/>
        </w:rPr>
        <w:t xml:space="preserve">ne dostavi jamstvo za uredno ispunjenje </w:t>
      </w:r>
      <w:r w:rsidR="00320BBB" w:rsidRPr="00320BBB">
        <w:rPr>
          <w:sz w:val="24"/>
          <w:szCs w:val="24"/>
        </w:rPr>
        <w:t>okvirnog sporazuma</w:t>
      </w:r>
      <w:r w:rsidRPr="00320BBB">
        <w:rPr>
          <w:sz w:val="24"/>
          <w:szCs w:val="24"/>
        </w:rPr>
        <w:t>.</w:t>
      </w:r>
    </w:p>
    <w:p w14:paraId="6E94462D" w14:textId="77777777" w:rsidR="001744E9" w:rsidRDefault="001744E9" w:rsidP="001744E9">
      <w:pPr>
        <w:jc w:val="both"/>
      </w:pPr>
    </w:p>
    <w:p w14:paraId="61B134E2" w14:textId="77777777" w:rsidR="0093172D" w:rsidRDefault="0093172D" w:rsidP="001744E9">
      <w:pPr>
        <w:jc w:val="both"/>
      </w:pPr>
    </w:p>
    <w:p w14:paraId="42D864AC" w14:textId="77777777" w:rsidR="0093172D" w:rsidRPr="001744E9" w:rsidRDefault="0093172D" w:rsidP="001744E9">
      <w:pPr>
        <w:jc w:val="both"/>
      </w:pPr>
    </w:p>
    <w:p w14:paraId="49550BE2" w14:textId="77777777" w:rsidR="001744E9" w:rsidRPr="001744E9" w:rsidRDefault="001744E9" w:rsidP="001744E9">
      <w:pPr>
        <w:jc w:val="both"/>
      </w:pPr>
      <w:r w:rsidRPr="001744E9">
        <w:lastRenderedPageBreak/>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9892977" w14:textId="77777777" w:rsidR="00AC6B22" w:rsidRDefault="00AC6B22" w:rsidP="00AC6B22">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397D2B86" w14:textId="77777777" w:rsidR="00320BBB" w:rsidRPr="00E87432" w:rsidRDefault="00320BBB" w:rsidP="00320BBB">
      <w:pPr>
        <w:pStyle w:val="ListParagraph"/>
        <w:numPr>
          <w:ilvl w:val="0"/>
          <w:numId w:val="27"/>
        </w:numPr>
        <w:shd w:val="clear" w:color="auto" w:fill="C6D9F1" w:themeFill="text2" w:themeFillTint="33"/>
        <w:rPr>
          <w:b/>
          <w:sz w:val="24"/>
          <w:szCs w:val="24"/>
        </w:rPr>
      </w:pPr>
      <w:r w:rsidRPr="00E87432">
        <w:rPr>
          <w:b/>
          <w:sz w:val="24"/>
          <w:szCs w:val="24"/>
        </w:rPr>
        <w:t xml:space="preserve">JAMSTVO ZA UREDNO ISPUNJENJE </w:t>
      </w:r>
      <w:r>
        <w:rPr>
          <w:b/>
          <w:sz w:val="24"/>
          <w:szCs w:val="24"/>
        </w:rPr>
        <w:t>OKVIRNOG SPORAZUMA</w:t>
      </w:r>
      <w:r w:rsidRPr="00E87432">
        <w:rPr>
          <w:b/>
          <w:sz w:val="24"/>
          <w:szCs w:val="24"/>
        </w:rPr>
        <w:t>:</w:t>
      </w:r>
    </w:p>
    <w:p w14:paraId="11FB855B" w14:textId="77777777" w:rsidR="00320BBB" w:rsidRPr="00E87432" w:rsidRDefault="00320BBB" w:rsidP="00320BBB">
      <w:pPr>
        <w:rPr>
          <w:b/>
        </w:rPr>
      </w:pPr>
    </w:p>
    <w:p w14:paraId="7937A715" w14:textId="77777777" w:rsidR="00320BBB" w:rsidRPr="00E87432" w:rsidRDefault="00320BBB" w:rsidP="00320BBB">
      <w:pPr>
        <w:jc w:val="both"/>
        <w:rPr>
          <w:rFonts w:eastAsiaTheme="minorEastAsia"/>
          <w:lang w:eastAsia="zh-CN"/>
        </w:rPr>
      </w:pPr>
      <w:r w:rsidRPr="00E87432">
        <w:rPr>
          <w:rFonts w:eastAsiaTheme="minorEastAsia"/>
          <w:lang w:eastAsia="zh-CN"/>
        </w:rPr>
        <w:t xml:space="preserve">Odabrani ponuditelj je obvezan, </w:t>
      </w:r>
      <w:r w:rsidRPr="00E87432">
        <w:rPr>
          <w:rFonts w:eastAsiaTheme="minorEastAsia"/>
          <w:b/>
          <w:bCs/>
          <w:lang w:eastAsia="zh-CN"/>
        </w:rPr>
        <w:t>u roku od</w:t>
      </w:r>
      <w:r w:rsidRPr="00E87432">
        <w:rPr>
          <w:rFonts w:eastAsiaTheme="minorEastAsia"/>
          <w:lang w:eastAsia="zh-CN"/>
        </w:rPr>
        <w:t xml:space="preserve"> </w:t>
      </w:r>
      <w:r w:rsidRPr="00E87432">
        <w:rPr>
          <w:rFonts w:eastAsiaTheme="minorEastAsia"/>
          <w:b/>
          <w:bCs/>
          <w:lang w:eastAsia="zh-CN"/>
        </w:rPr>
        <w:t xml:space="preserve">15 (petnaest) dana od dana potpisivanja </w:t>
      </w:r>
      <w:r>
        <w:rPr>
          <w:rFonts w:eastAsiaTheme="minorEastAsia"/>
          <w:b/>
          <w:bCs/>
          <w:lang w:eastAsia="zh-CN"/>
        </w:rPr>
        <w:t>okvirnog sporazuma</w:t>
      </w:r>
      <w:r w:rsidRPr="00E87432">
        <w:rPr>
          <w:rFonts w:eastAsiaTheme="minorEastAsia"/>
          <w:b/>
          <w:bCs/>
          <w:lang w:eastAsia="zh-CN"/>
        </w:rPr>
        <w:t>,</w:t>
      </w:r>
      <w:r w:rsidRPr="00E87432">
        <w:rPr>
          <w:rFonts w:eastAsiaTheme="minorEastAsia"/>
          <w:lang w:eastAsia="zh-CN"/>
        </w:rPr>
        <w:t xml:space="preserve"> dostaviti Naručitelju jamstvo za uredno ispunjenje </w:t>
      </w:r>
      <w:r>
        <w:rPr>
          <w:rFonts w:eastAsiaTheme="minorEastAsia"/>
          <w:lang w:eastAsia="zh-CN"/>
        </w:rPr>
        <w:t>okvirnog sporazuma</w:t>
      </w:r>
      <w:r w:rsidRPr="00E87432">
        <w:rPr>
          <w:rFonts w:eastAsiaTheme="minorEastAsia"/>
          <w:lang w:eastAsia="zh-CN"/>
        </w:rPr>
        <w:t xml:space="preserve">, u iznosu od 10% (deset posto) vrijednosti </w:t>
      </w:r>
      <w:r>
        <w:rPr>
          <w:rFonts w:eastAsiaTheme="minorEastAsia"/>
          <w:lang w:eastAsia="zh-CN"/>
        </w:rPr>
        <w:t>okvirnog sporazuma</w:t>
      </w:r>
      <w:r w:rsidRPr="00E87432">
        <w:rPr>
          <w:rFonts w:eastAsiaTheme="minorEastAsia"/>
          <w:lang w:eastAsia="zh-CN"/>
        </w:rPr>
        <w:t xml:space="preserve"> (bez PDV-a).</w:t>
      </w:r>
    </w:p>
    <w:p w14:paraId="2FC7C119" w14:textId="77777777" w:rsidR="00320BBB" w:rsidRPr="00E87432" w:rsidRDefault="00320BBB" w:rsidP="00320BBB">
      <w:pPr>
        <w:jc w:val="both"/>
      </w:pPr>
    </w:p>
    <w:p w14:paraId="1D47A810" w14:textId="77777777" w:rsidR="00320BBB" w:rsidRPr="00E87432" w:rsidRDefault="00320BBB" w:rsidP="00320BBB">
      <w:pPr>
        <w:pStyle w:val="ListParagraph"/>
        <w:tabs>
          <w:tab w:val="left" w:pos="567"/>
        </w:tabs>
        <w:ind w:left="0"/>
        <w:contextualSpacing/>
        <w:jc w:val="both"/>
        <w:rPr>
          <w:rFonts w:eastAsia="SimSun"/>
          <w:b/>
          <w:bCs/>
          <w:sz w:val="24"/>
          <w:szCs w:val="24"/>
          <w:lang w:eastAsia="hr-HR"/>
        </w:rPr>
      </w:pPr>
      <w:r w:rsidRPr="0093172D">
        <w:rPr>
          <w:b/>
          <w:bCs/>
          <w:sz w:val="24"/>
          <w:szCs w:val="24"/>
        </w:rPr>
        <w:t>Jamstvo za uredno ispunjenje</w:t>
      </w:r>
      <w:r w:rsidRPr="00E87432">
        <w:rPr>
          <w:b/>
          <w:bCs/>
          <w:sz w:val="24"/>
          <w:szCs w:val="24"/>
        </w:rPr>
        <w:t xml:space="preserve"> </w:t>
      </w:r>
      <w:r>
        <w:rPr>
          <w:b/>
          <w:bCs/>
          <w:sz w:val="24"/>
          <w:szCs w:val="24"/>
        </w:rPr>
        <w:t>okvirnog sporazuma</w:t>
      </w:r>
      <w:r w:rsidRPr="00E87432">
        <w:rPr>
          <w:b/>
          <w:bCs/>
          <w:sz w:val="24"/>
          <w:szCs w:val="24"/>
        </w:rPr>
        <w:t xml:space="preserve"> Naručitelj može naplatiti u cjelokupnom iznosu, za neizvršavanje i/ili neuredno izvršavanje obveza iz </w:t>
      </w:r>
      <w:r>
        <w:rPr>
          <w:b/>
          <w:bCs/>
          <w:sz w:val="24"/>
          <w:szCs w:val="24"/>
        </w:rPr>
        <w:t>okvirnog sporazuma</w:t>
      </w:r>
      <w:r w:rsidRPr="00E87432">
        <w:rPr>
          <w:b/>
          <w:bCs/>
          <w:sz w:val="24"/>
          <w:szCs w:val="24"/>
        </w:rPr>
        <w:t xml:space="preserve">, i to:  </w:t>
      </w:r>
    </w:p>
    <w:p w14:paraId="61072854" w14:textId="77777777" w:rsidR="00320BBB" w:rsidRPr="001242D3" w:rsidRDefault="00320BBB" w:rsidP="00320BBB">
      <w:pPr>
        <w:pStyle w:val="ListParagraph"/>
        <w:numPr>
          <w:ilvl w:val="0"/>
          <w:numId w:val="38"/>
        </w:numPr>
        <w:rPr>
          <w:sz w:val="24"/>
          <w:szCs w:val="24"/>
        </w:rPr>
      </w:pPr>
      <w:r w:rsidRPr="001242D3">
        <w:rPr>
          <w:color w:val="000000"/>
          <w:sz w:val="24"/>
          <w:szCs w:val="24"/>
        </w:rPr>
        <w:t xml:space="preserve">ukoliko </w:t>
      </w:r>
      <w:r w:rsidRPr="00E87432">
        <w:rPr>
          <w:sz w:val="24"/>
          <w:szCs w:val="24"/>
        </w:rPr>
        <w:t xml:space="preserve">odabrani ponuditelj </w:t>
      </w:r>
      <w:r w:rsidRPr="001242D3">
        <w:rPr>
          <w:sz w:val="24"/>
          <w:szCs w:val="24"/>
        </w:rPr>
        <w:t xml:space="preserve">odbije potpisati pojedinačni ugovor o nabavi koji je u skladu s ovim </w:t>
      </w:r>
      <w:r>
        <w:rPr>
          <w:sz w:val="24"/>
          <w:szCs w:val="24"/>
        </w:rPr>
        <w:t>okvirnim sporazumom i ovim Pozivom</w:t>
      </w:r>
    </w:p>
    <w:p w14:paraId="6AA31965" w14:textId="77777777" w:rsidR="00320BBB" w:rsidRDefault="00320BBB" w:rsidP="00320BBB">
      <w:pPr>
        <w:pStyle w:val="ListParagraph"/>
        <w:numPr>
          <w:ilvl w:val="0"/>
          <w:numId w:val="38"/>
        </w:numPr>
        <w:contextualSpacing/>
        <w:jc w:val="both"/>
        <w:rPr>
          <w:color w:val="000000"/>
          <w:sz w:val="24"/>
          <w:szCs w:val="24"/>
        </w:rPr>
      </w:pPr>
      <w:r>
        <w:rPr>
          <w:color w:val="000000"/>
          <w:sz w:val="24"/>
          <w:szCs w:val="24"/>
        </w:rPr>
        <w:t>ukoliko se odabrani ponuditelj ne pridržava bilo kojeg od rokova propisanih točkom 7. ovog Poziva</w:t>
      </w:r>
    </w:p>
    <w:p w14:paraId="0E1233B3" w14:textId="77777777" w:rsidR="00320BBB" w:rsidRPr="00E87432" w:rsidRDefault="00320BBB" w:rsidP="00320BBB">
      <w:pPr>
        <w:pStyle w:val="ListParagraph"/>
        <w:numPr>
          <w:ilvl w:val="0"/>
          <w:numId w:val="38"/>
        </w:numPr>
        <w:contextualSpacing/>
        <w:jc w:val="both"/>
        <w:rPr>
          <w:color w:val="000000"/>
          <w:sz w:val="24"/>
          <w:szCs w:val="24"/>
        </w:rPr>
      </w:pPr>
      <w:r w:rsidRPr="00E87432">
        <w:rPr>
          <w:color w:val="000000"/>
          <w:sz w:val="24"/>
          <w:szCs w:val="24"/>
        </w:rPr>
        <w:t xml:space="preserve">ukoliko </w:t>
      </w:r>
      <w:r w:rsidRPr="00E87432">
        <w:rPr>
          <w:sz w:val="24"/>
          <w:szCs w:val="24"/>
        </w:rPr>
        <w:t xml:space="preserve">odabrani ponuditelj odbija </w:t>
      </w:r>
      <w:r w:rsidRPr="00E87432">
        <w:rPr>
          <w:color w:val="000000"/>
          <w:sz w:val="24"/>
          <w:szCs w:val="24"/>
        </w:rPr>
        <w:t xml:space="preserve">izvršiti obveze iz </w:t>
      </w:r>
      <w:r>
        <w:rPr>
          <w:color w:val="000000"/>
          <w:sz w:val="24"/>
          <w:szCs w:val="24"/>
        </w:rPr>
        <w:t xml:space="preserve">okvirnog sporazuma </w:t>
      </w:r>
      <w:r w:rsidRPr="00E87432">
        <w:rPr>
          <w:color w:val="000000"/>
          <w:sz w:val="24"/>
          <w:szCs w:val="24"/>
        </w:rPr>
        <w:t>u skladu s nalogom Naručitelja</w:t>
      </w:r>
    </w:p>
    <w:p w14:paraId="6B56251A" w14:textId="77777777" w:rsidR="00320BBB" w:rsidRPr="00E87432" w:rsidRDefault="00320BBB" w:rsidP="00320BBB">
      <w:pPr>
        <w:pStyle w:val="ListParagraph"/>
        <w:numPr>
          <w:ilvl w:val="0"/>
          <w:numId w:val="38"/>
        </w:numPr>
        <w:contextualSpacing/>
        <w:jc w:val="both"/>
        <w:rPr>
          <w:color w:val="000000"/>
          <w:sz w:val="24"/>
          <w:szCs w:val="24"/>
        </w:rPr>
      </w:pPr>
      <w:r w:rsidRPr="00E87432">
        <w:rPr>
          <w:color w:val="000000"/>
          <w:sz w:val="24"/>
          <w:szCs w:val="24"/>
        </w:rPr>
        <w:t xml:space="preserve">ukoliko </w:t>
      </w:r>
      <w:r w:rsidRPr="00E87432">
        <w:rPr>
          <w:sz w:val="24"/>
          <w:szCs w:val="24"/>
        </w:rPr>
        <w:t>odabrani ponuditelj</w:t>
      </w:r>
      <w:r w:rsidRPr="00E87432">
        <w:rPr>
          <w:color w:val="000000"/>
          <w:sz w:val="24"/>
          <w:szCs w:val="24"/>
        </w:rPr>
        <w:t xml:space="preserve">, usprkos pisanom upozorenju Naručitelja, opetovano ne izvršava ili neuredno izvršava svoje obveze proizašle iz </w:t>
      </w:r>
      <w:r>
        <w:rPr>
          <w:color w:val="000000"/>
          <w:sz w:val="24"/>
          <w:szCs w:val="24"/>
        </w:rPr>
        <w:t>okvirnog sporazuma</w:t>
      </w:r>
    </w:p>
    <w:p w14:paraId="62DA56CC" w14:textId="77777777" w:rsidR="00320BBB" w:rsidRPr="00E87432" w:rsidRDefault="00320BBB" w:rsidP="00320BBB">
      <w:pPr>
        <w:pStyle w:val="ListParagraph"/>
        <w:numPr>
          <w:ilvl w:val="0"/>
          <w:numId w:val="38"/>
        </w:numPr>
        <w:contextualSpacing/>
        <w:jc w:val="both"/>
        <w:rPr>
          <w:sz w:val="24"/>
          <w:szCs w:val="24"/>
        </w:rPr>
      </w:pPr>
      <w:r w:rsidRPr="00E87432">
        <w:rPr>
          <w:color w:val="000000"/>
          <w:sz w:val="24"/>
          <w:szCs w:val="24"/>
        </w:rPr>
        <w:t xml:space="preserve">ukoliko </w:t>
      </w:r>
      <w:r w:rsidRPr="00E87432">
        <w:rPr>
          <w:sz w:val="24"/>
          <w:szCs w:val="24"/>
        </w:rPr>
        <w:t xml:space="preserve">odabrani ponuditelj ne poštuje odredbe prisilnih propisa kojima se regulira područje predmeta </w:t>
      </w:r>
      <w:r>
        <w:rPr>
          <w:color w:val="000000"/>
          <w:sz w:val="24"/>
          <w:szCs w:val="24"/>
        </w:rPr>
        <w:t>okvirnog sporazuma</w:t>
      </w:r>
    </w:p>
    <w:p w14:paraId="6D40AFCA" w14:textId="77777777" w:rsidR="00320BBB" w:rsidRPr="00E87432" w:rsidRDefault="00320BBB" w:rsidP="00320BBB">
      <w:pPr>
        <w:numPr>
          <w:ilvl w:val="0"/>
          <w:numId w:val="38"/>
        </w:numPr>
        <w:tabs>
          <w:tab w:val="left" w:pos="567"/>
        </w:tabs>
        <w:contextualSpacing/>
        <w:jc w:val="both"/>
        <w:rPr>
          <w:rFonts w:eastAsia="SimSun"/>
        </w:rPr>
      </w:pPr>
      <w:r w:rsidRPr="00E87432">
        <w:rPr>
          <w:rFonts w:eastAsia="SimSun"/>
        </w:rPr>
        <w:t xml:space="preserve">ukoliko </w:t>
      </w:r>
      <w:r w:rsidRPr="00E87432">
        <w:t xml:space="preserve">odabrani ponuditelj </w:t>
      </w:r>
      <w:r w:rsidRPr="00E87432">
        <w:rPr>
          <w:rFonts w:eastAsia="SimSun"/>
        </w:rPr>
        <w:t>napravi težak profesionalni propust pri realizaciji posla</w:t>
      </w:r>
    </w:p>
    <w:p w14:paraId="65A4D6DC" w14:textId="77777777" w:rsidR="00320BBB" w:rsidRPr="00E87432" w:rsidRDefault="00320BBB" w:rsidP="00320BBB">
      <w:pPr>
        <w:numPr>
          <w:ilvl w:val="0"/>
          <w:numId w:val="38"/>
        </w:numPr>
        <w:tabs>
          <w:tab w:val="left" w:pos="567"/>
        </w:tabs>
        <w:contextualSpacing/>
        <w:jc w:val="both"/>
        <w:rPr>
          <w:rFonts w:eastAsia="SimSun"/>
        </w:rPr>
      </w:pPr>
      <w:r w:rsidRPr="00E87432">
        <w:rPr>
          <w:rFonts w:eastAsiaTheme="minorHAnsi"/>
          <w:bCs/>
        </w:rPr>
        <w:t xml:space="preserve">ukoliko je </w:t>
      </w:r>
      <w:r w:rsidRPr="00E87432">
        <w:t xml:space="preserve">odabrani ponuditelj </w:t>
      </w:r>
      <w:r w:rsidRPr="00E87432">
        <w:rPr>
          <w:rFonts w:eastAsiaTheme="minorHAnsi"/>
          <w:bCs/>
        </w:rPr>
        <w:t xml:space="preserve">izgubio pravnu ili poslovnu sposobnost, a nije dostavio dokaz o tome da je istu ponovno stekao ili produljio </w:t>
      </w:r>
    </w:p>
    <w:p w14:paraId="7FD3A723" w14:textId="77777777" w:rsidR="00320BBB" w:rsidRPr="00E87432" w:rsidRDefault="00320BBB" w:rsidP="00320BBB">
      <w:pPr>
        <w:numPr>
          <w:ilvl w:val="0"/>
          <w:numId w:val="38"/>
        </w:numPr>
        <w:jc w:val="both"/>
        <w:rPr>
          <w:rFonts w:eastAsiaTheme="minorEastAsia"/>
          <w:lang w:eastAsia="zh-CN"/>
        </w:rPr>
      </w:pPr>
      <w:r w:rsidRPr="00E87432">
        <w:rPr>
          <w:rFonts w:eastAsiaTheme="minorEastAsia"/>
          <w:lang w:eastAsia="zh-CN"/>
        </w:rPr>
        <w:t xml:space="preserve">ukoliko je </w:t>
      </w:r>
      <w:r w:rsidRPr="00E87432">
        <w:t xml:space="preserve">odabranom ponuditelju </w:t>
      </w:r>
      <w:r w:rsidRPr="00E70A51">
        <w:t xml:space="preserve">od strane nadležnog tijela izdana zabrana obavljanja djelatnosti koja se odnosi na </w:t>
      </w:r>
      <w:r>
        <w:t>realizaciju predmeta nabave</w:t>
      </w:r>
    </w:p>
    <w:p w14:paraId="75BFD529" w14:textId="77777777" w:rsidR="00320BBB" w:rsidRPr="00E87432" w:rsidRDefault="00320BBB" w:rsidP="00320BBB">
      <w:pPr>
        <w:numPr>
          <w:ilvl w:val="0"/>
          <w:numId w:val="38"/>
        </w:numPr>
        <w:jc w:val="both"/>
        <w:rPr>
          <w:rFonts w:eastAsiaTheme="minorEastAsia"/>
          <w:lang w:eastAsia="zh-CN"/>
        </w:rPr>
      </w:pPr>
      <w:r w:rsidRPr="00E87432">
        <w:rPr>
          <w:rFonts w:eastAsiaTheme="minorEastAsia"/>
          <w:lang w:eastAsia="zh-CN"/>
        </w:rPr>
        <w:t xml:space="preserve">u drugim slučajevima koji će biti naknadno regulirani </w:t>
      </w:r>
      <w:r>
        <w:rPr>
          <w:color w:val="000000"/>
        </w:rPr>
        <w:t>okvirnim sporazumom</w:t>
      </w:r>
      <w:r w:rsidRPr="00E87432">
        <w:rPr>
          <w:rFonts w:eastAsiaTheme="minorEastAsia"/>
          <w:lang w:eastAsia="zh-CN"/>
        </w:rPr>
        <w:t>.</w:t>
      </w:r>
    </w:p>
    <w:p w14:paraId="5B617204" w14:textId="18C3EA69" w:rsidR="00D51E32" w:rsidRDefault="00D51E32">
      <w:r>
        <w:br w:type="page"/>
      </w:r>
    </w:p>
    <w:p w14:paraId="445FE17D" w14:textId="77777777" w:rsidR="00320BBB" w:rsidRPr="00E87432" w:rsidRDefault="00320BBB" w:rsidP="00320BBB">
      <w:pPr>
        <w:jc w:val="both"/>
        <w:rPr>
          <w:rFonts w:eastAsiaTheme="minorEastAsia"/>
          <w:lang w:eastAsia="zh-CN"/>
        </w:rPr>
      </w:pPr>
      <w:bookmarkStart w:id="5" w:name="_Toc434217"/>
      <w:r w:rsidRPr="00E87432">
        <w:rPr>
          <w:rFonts w:eastAsiaTheme="minorEastAsia"/>
          <w:b/>
          <w:lang w:eastAsia="zh-CN"/>
        </w:rPr>
        <w:lastRenderedPageBreak/>
        <w:t xml:space="preserve">Jamstvo za uredno ispunjenje </w:t>
      </w:r>
      <w:r>
        <w:rPr>
          <w:rFonts w:eastAsiaTheme="minorEastAsia"/>
          <w:b/>
          <w:lang w:eastAsia="zh-CN"/>
        </w:rPr>
        <w:t>okvirnog sporazuma</w:t>
      </w:r>
      <w:r w:rsidRPr="00E87432">
        <w:rPr>
          <w:rFonts w:eastAsiaTheme="minorEastAsia"/>
          <w:b/>
          <w:lang w:eastAsia="zh-CN"/>
        </w:rPr>
        <w:t xml:space="preserve"> Naručitelj može naplatiti</w:t>
      </w:r>
      <w:bookmarkEnd w:id="5"/>
      <w:r w:rsidRPr="00E87432">
        <w:rPr>
          <w:rFonts w:eastAsiaTheme="minorEastAsia"/>
          <w:b/>
          <w:lang w:eastAsia="zh-CN"/>
        </w:rPr>
        <w:t>:</w:t>
      </w:r>
    </w:p>
    <w:p w14:paraId="2D5A50AD" w14:textId="71D13783" w:rsidR="00320BBB" w:rsidRPr="00E87432" w:rsidRDefault="00320BBB" w:rsidP="00320BBB">
      <w:pPr>
        <w:numPr>
          <w:ilvl w:val="0"/>
          <w:numId w:val="39"/>
        </w:numPr>
        <w:jc w:val="both"/>
        <w:rPr>
          <w:rFonts w:eastAsiaTheme="minorEastAsia"/>
          <w:lang w:eastAsia="zh-CN"/>
        </w:rPr>
      </w:pPr>
      <w:r w:rsidRPr="00E87432">
        <w:rPr>
          <w:rFonts w:eastAsiaTheme="minorEastAsia"/>
          <w:lang w:eastAsia="zh-CN"/>
        </w:rPr>
        <w:t xml:space="preserve">na ime naknade štete koja je nastala kao posljedica </w:t>
      </w:r>
      <w:proofErr w:type="spellStart"/>
      <w:r w:rsidR="00D51E32" w:rsidRPr="00E70A51">
        <w:t>nerealizacije</w:t>
      </w:r>
      <w:proofErr w:type="spellEnd"/>
      <w:r w:rsidR="00D51E32" w:rsidRPr="00E70A51">
        <w:t xml:space="preserve"> </w:t>
      </w:r>
      <w:r w:rsidR="00D51E32">
        <w:t>predmetnih usluga</w:t>
      </w:r>
      <w:r w:rsidRPr="00E87432">
        <w:rPr>
          <w:rFonts w:eastAsiaTheme="minorEastAsia"/>
          <w:lang w:eastAsia="zh-CN"/>
        </w:rPr>
        <w:t xml:space="preserve">, u visini iznosa stvarno realiziranih usluga po trećem izvršitelju s uključenim PDV-om, a kojeg je Naručitelj bio primoran angažirati. Ukoliko iznos naplaćenog jamstva ne bude dostatan za namirenje nastale štete, Naručitelj zadržava pravo potraživati od </w:t>
      </w:r>
      <w:r w:rsidRPr="00E87432">
        <w:t xml:space="preserve">odabranog ponuditelja </w:t>
      </w:r>
      <w:r w:rsidRPr="00E87432">
        <w:rPr>
          <w:rFonts w:eastAsiaTheme="minorEastAsia"/>
          <w:lang w:eastAsia="zh-CN"/>
        </w:rPr>
        <w:t>nepodmireno do visine ukupno nastale štete</w:t>
      </w:r>
    </w:p>
    <w:p w14:paraId="7CD5D5A2" w14:textId="77777777" w:rsidR="00320BBB" w:rsidRPr="00E87432" w:rsidRDefault="00320BBB" w:rsidP="00320BBB">
      <w:pPr>
        <w:numPr>
          <w:ilvl w:val="0"/>
          <w:numId w:val="39"/>
        </w:numPr>
        <w:jc w:val="both"/>
        <w:rPr>
          <w:rFonts w:eastAsiaTheme="minorEastAsia"/>
          <w:lang w:eastAsia="zh-CN"/>
        </w:rPr>
      </w:pPr>
      <w:r w:rsidRPr="00E87432">
        <w:rPr>
          <w:rFonts w:eastAsiaTheme="minorEastAsia"/>
          <w:lang w:eastAsia="zh-CN"/>
        </w:rPr>
        <w:t xml:space="preserve">u drugim slučajevima koji će biti naknadno regulirani </w:t>
      </w:r>
      <w:r>
        <w:rPr>
          <w:color w:val="000000"/>
        </w:rPr>
        <w:t>okvirnim sporazumom</w:t>
      </w:r>
      <w:r w:rsidRPr="00E87432">
        <w:rPr>
          <w:rFonts w:eastAsiaTheme="minorEastAsia"/>
          <w:lang w:eastAsia="zh-CN"/>
        </w:rPr>
        <w:t>.</w:t>
      </w:r>
    </w:p>
    <w:p w14:paraId="3271B16C" w14:textId="77777777" w:rsidR="00320BBB" w:rsidRPr="00E87432" w:rsidRDefault="00320BBB" w:rsidP="00320BBB">
      <w:pPr>
        <w:jc w:val="both"/>
      </w:pPr>
    </w:p>
    <w:p w14:paraId="4EB04297" w14:textId="77777777" w:rsidR="00320BBB" w:rsidRPr="00E87432" w:rsidRDefault="00320BBB" w:rsidP="00320BBB">
      <w:pPr>
        <w:jc w:val="both"/>
      </w:pPr>
      <w:r w:rsidRPr="00E87432">
        <w:t xml:space="preserve">Odabrani ponuditelj dostavlja Naručitelju </w:t>
      </w:r>
      <w:r w:rsidRPr="00E87432">
        <w:rPr>
          <w:rFonts w:eastAsiaTheme="minorEastAsia"/>
          <w:lang w:eastAsia="zh-CN"/>
        </w:rPr>
        <w:t xml:space="preserve">jamstvo za uredno ispunjenje </w:t>
      </w:r>
      <w:r>
        <w:rPr>
          <w:rFonts w:eastAsiaTheme="minorEastAsia"/>
          <w:lang w:eastAsia="zh-CN"/>
        </w:rPr>
        <w:t>okvirnog sporazuma</w:t>
      </w:r>
      <w:r w:rsidRPr="00E87432">
        <w:rPr>
          <w:color w:val="000000"/>
        </w:rPr>
        <w:t xml:space="preserve"> u jednom od sljedećih oblika:</w:t>
      </w:r>
    </w:p>
    <w:p w14:paraId="5AF78A33" w14:textId="77777777" w:rsidR="00320BBB" w:rsidRPr="00E87432" w:rsidRDefault="00320BBB" w:rsidP="00320BBB">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zadužnice („Narodne novine“ broj 115/12, 82/17 i 154/22)</w:t>
      </w:r>
    </w:p>
    <w:p w14:paraId="657D9D38" w14:textId="77777777" w:rsidR="00320BBB" w:rsidRPr="00E87432" w:rsidRDefault="00320BBB" w:rsidP="00320BBB">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w:t>
      </w:r>
      <w:proofErr w:type="spellStart"/>
      <w:r w:rsidRPr="00E87432">
        <w:rPr>
          <w:sz w:val="24"/>
          <w:szCs w:val="24"/>
        </w:rPr>
        <w:t>solemnizirana</w:t>
      </w:r>
      <w:proofErr w:type="spellEnd"/>
      <w:r w:rsidRPr="00E87432">
        <w:rPr>
          <w:sz w:val="24"/>
          <w:szCs w:val="24"/>
        </w:rPr>
        <w:t>) kod javnog bilježnika te popunjena sukladno Pravilniku o obliku i sadržaju bjanko zadužnice („Narodne novine“ broj 115/12, 82/17 i 154/22)</w:t>
      </w:r>
    </w:p>
    <w:p w14:paraId="1F054D41" w14:textId="77777777" w:rsidR="00320BBB" w:rsidRPr="00E87432" w:rsidRDefault="00320BBB" w:rsidP="00320BBB">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 30 (trideset) dana duljim od isteka </w:t>
      </w:r>
      <w:r>
        <w:rPr>
          <w:sz w:val="24"/>
          <w:szCs w:val="24"/>
        </w:rPr>
        <w:t>okvirnog sporazuma</w:t>
      </w:r>
      <w:r w:rsidRPr="00E87432">
        <w:rPr>
          <w:sz w:val="24"/>
          <w:szCs w:val="24"/>
        </w:rPr>
        <w:t>.</w:t>
      </w:r>
    </w:p>
    <w:p w14:paraId="29717D46" w14:textId="686C6722" w:rsidR="00320BBB" w:rsidRPr="00E87432" w:rsidRDefault="00320BBB" w:rsidP="00320BBB">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Pr>
          <w:sz w:val="24"/>
          <w:szCs w:val="24"/>
        </w:rPr>
        <w:t>okvirnog sporazuma</w:t>
      </w:r>
      <w:r w:rsidRPr="00E87432">
        <w:rPr>
          <w:sz w:val="24"/>
          <w:szCs w:val="24"/>
        </w:rPr>
        <w:t xml:space="preserve"> - </w:t>
      </w:r>
      <w:r w:rsidR="00D51E32">
        <w:rPr>
          <w:sz w:val="24"/>
          <w:szCs w:val="24"/>
        </w:rPr>
        <w:t>76</w:t>
      </w:r>
      <w:r w:rsidRPr="00E87432">
        <w:rPr>
          <w:sz w:val="24"/>
          <w:szCs w:val="24"/>
        </w:rPr>
        <w:t>/24, BIC (SWIFT) CODE: ESBCHR22.</w:t>
      </w:r>
    </w:p>
    <w:p w14:paraId="01DFA4ED" w14:textId="77777777" w:rsidR="00320BBB" w:rsidRPr="00B13D8E" w:rsidRDefault="00320BBB" w:rsidP="00320BBB"/>
    <w:p w14:paraId="7BC6B7F0" w14:textId="77777777" w:rsidR="00320BBB" w:rsidRPr="00B13D8E" w:rsidRDefault="00320BBB" w:rsidP="00320BBB">
      <w:pPr>
        <w:pStyle w:val="ListParagraph"/>
        <w:numPr>
          <w:ilvl w:val="0"/>
          <w:numId w:val="27"/>
        </w:numPr>
        <w:shd w:val="clear" w:color="auto" w:fill="C6D9F1" w:themeFill="text2" w:themeFillTint="33"/>
        <w:ind w:left="0" w:firstLine="0"/>
        <w:jc w:val="both"/>
        <w:rPr>
          <w:b/>
          <w:sz w:val="24"/>
          <w:szCs w:val="24"/>
        </w:rPr>
      </w:pPr>
      <w:r w:rsidRPr="00B13D8E">
        <w:rPr>
          <w:b/>
          <w:sz w:val="24"/>
          <w:szCs w:val="24"/>
        </w:rPr>
        <w:t xml:space="preserve">POVJERLJIVOST PODATAKA TE JAVNA OBJAVA </w:t>
      </w:r>
      <w:r>
        <w:rPr>
          <w:b/>
          <w:sz w:val="24"/>
          <w:szCs w:val="24"/>
        </w:rPr>
        <w:t xml:space="preserve">OKVIRNOG SPORAZUMA, </w:t>
      </w:r>
      <w:r w:rsidRPr="00B13D8E">
        <w:rPr>
          <w:b/>
          <w:sz w:val="24"/>
          <w:szCs w:val="24"/>
        </w:rPr>
        <w:t>UGOVORA</w:t>
      </w:r>
      <w:r>
        <w:rPr>
          <w:b/>
          <w:sz w:val="24"/>
          <w:szCs w:val="24"/>
        </w:rPr>
        <w:t xml:space="preserve"> O NABAVI</w:t>
      </w:r>
      <w:r w:rsidRPr="00B13D8E">
        <w:rPr>
          <w:b/>
          <w:sz w:val="24"/>
          <w:szCs w:val="24"/>
        </w:rPr>
        <w:t xml:space="preserve"> </w:t>
      </w:r>
      <w:r>
        <w:rPr>
          <w:b/>
          <w:sz w:val="24"/>
          <w:szCs w:val="24"/>
        </w:rPr>
        <w:t>SKLOPLJENIH TEMELJEM OKVIRNOG SPORAZUMA</w:t>
      </w:r>
      <w:r w:rsidRPr="00B13D8E">
        <w:rPr>
          <w:b/>
          <w:sz w:val="24"/>
          <w:szCs w:val="24"/>
        </w:rPr>
        <w:t xml:space="preserve"> I PONUDE:</w:t>
      </w:r>
    </w:p>
    <w:p w14:paraId="118B79F7" w14:textId="77777777" w:rsidR="00320BBB" w:rsidRPr="00B13D8E" w:rsidRDefault="00320BBB" w:rsidP="00320BBB">
      <w:pPr>
        <w:rPr>
          <w:b/>
        </w:rPr>
      </w:pPr>
    </w:p>
    <w:p w14:paraId="2ED2A204" w14:textId="77777777" w:rsidR="00320BBB" w:rsidRPr="00B13D8E" w:rsidRDefault="00320BBB" w:rsidP="00320BBB">
      <w:pPr>
        <w:jc w:val="both"/>
      </w:pPr>
      <w:r w:rsidRPr="00B13D8E">
        <w:t xml:space="preserve">Naručitelj se internim aktima obvezao da će javno objavljivati (među ostalim) podatke o svim sklopljenim </w:t>
      </w:r>
      <w:r>
        <w:t xml:space="preserve">okvirnim sporazumima i </w:t>
      </w:r>
      <w:r w:rsidRPr="00B13D8E">
        <w:t xml:space="preserve">ugovorima o nabavi te njihovoj realizaciji na mrežnoj stranici „Transparentnost“, dostupnoj na poveznici </w:t>
      </w:r>
      <w:hyperlink r:id="rId13" w:history="1">
        <w:r w:rsidRPr="00B13D8E">
          <w:rPr>
            <w:rStyle w:val="Hyperlink"/>
          </w:rPr>
          <w:t>https://omisalj.transparentor.org/</w:t>
        </w:r>
      </w:hyperlink>
      <w:r w:rsidRPr="00B13D8E">
        <w:t xml:space="preserve">. </w:t>
      </w:r>
    </w:p>
    <w:p w14:paraId="619E5083" w14:textId="77777777" w:rsidR="00320BBB" w:rsidRPr="00B13D8E" w:rsidRDefault="00320BBB" w:rsidP="00320BBB">
      <w:pPr>
        <w:jc w:val="both"/>
      </w:pPr>
    </w:p>
    <w:p w14:paraId="1183A25C" w14:textId="77777777" w:rsidR="00320BBB" w:rsidRPr="00B13D8E" w:rsidRDefault="00320BBB" w:rsidP="00320BBB">
      <w:pPr>
        <w:jc w:val="both"/>
      </w:pPr>
      <w:r w:rsidRPr="00B13D8E">
        <w:t xml:space="preserve">Slijedom navedenog, smatrat će se da je svaki gospodarski subjekt koji podnese ponudu u sklopu predmetnog postupka nabave, ukoliko bude odabran kao najpovoljniji ponuditelj u istom, suglasan s javnom objavom </w:t>
      </w:r>
      <w:r>
        <w:t>sklopljenog okvirnog sporazuma te ugovora o nabavi sklopljenih temeljem okvirnog sporazuma na prethodno navedenoj mrežnoj stranici</w:t>
      </w:r>
      <w:r w:rsidRPr="00B13D8E">
        <w:t xml:space="preserve">, koja objava može dodatno uključivati i sastavne dijelove </w:t>
      </w:r>
      <w:r>
        <w:t xml:space="preserve">okvirnog sporazuma te </w:t>
      </w:r>
      <w:r w:rsidRPr="00B13D8E">
        <w:t xml:space="preserve">ugovora (poput ponude odabranog ponuditelja), dodatke </w:t>
      </w:r>
      <w:r>
        <w:t>okvirnom sporazumu i ugovoru/ima</w:t>
      </w:r>
      <w:r w:rsidRPr="00B13D8E">
        <w:t xml:space="preserve">, kao i pripadajuće podatke o realizaciji </w:t>
      </w:r>
      <w:r>
        <w:t xml:space="preserve">okvirnog sporazuma i ugovora </w:t>
      </w:r>
      <w:r w:rsidRPr="00B13D8E">
        <w:t>(npr. računi, otpremnice, zapisnici, podaci o izvršenim uplatama te sva druga relevantna dokumentacija).</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71B4CE22" w:rsidR="003C4B5D" w:rsidRPr="00320BBB" w:rsidRDefault="007351A8" w:rsidP="00CF5ADC">
      <w:pPr>
        <w:pStyle w:val="ListParagraph"/>
        <w:numPr>
          <w:ilvl w:val="0"/>
          <w:numId w:val="34"/>
        </w:numPr>
        <w:rPr>
          <w:sz w:val="24"/>
          <w:szCs w:val="24"/>
        </w:rPr>
      </w:pPr>
      <w:r w:rsidRPr="00320BBB">
        <w:rPr>
          <w:sz w:val="24"/>
          <w:szCs w:val="24"/>
        </w:rPr>
        <w:t xml:space="preserve">Obrazac </w:t>
      </w:r>
      <w:r w:rsidR="003C4B5D" w:rsidRPr="00320BBB">
        <w:rPr>
          <w:sz w:val="24"/>
          <w:szCs w:val="24"/>
        </w:rPr>
        <w:t>Troškovnik</w:t>
      </w:r>
      <w:r w:rsidRPr="00320BBB">
        <w:rPr>
          <w:sz w:val="24"/>
          <w:szCs w:val="24"/>
        </w:rPr>
        <w:t>a</w:t>
      </w:r>
      <w:r w:rsidR="00320BBB">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64E401D4"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C831FD">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AD2A" w14:textId="77777777" w:rsidR="00F55E9C" w:rsidRDefault="00F55E9C">
      <w:r>
        <w:separator/>
      </w:r>
    </w:p>
  </w:endnote>
  <w:endnote w:type="continuationSeparator" w:id="0">
    <w:p w14:paraId="79503F8C" w14:textId="77777777" w:rsidR="00F55E9C" w:rsidRDefault="00F5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0BB2" w14:textId="77777777" w:rsidR="00F55E9C" w:rsidRDefault="00F55E9C">
      <w:r>
        <w:separator/>
      </w:r>
    </w:p>
  </w:footnote>
  <w:footnote w:type="continuationSeparator" w:id="0">
    <w:p w14:paraId="504098B3" w14:textId="77777777" w:rsidR="00F55E9C" w:rsidRDefault="00F5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4F7C31"/>
    <w:multiLevelType w:val="hybridMultilevel"/>
    <w:tmpl w:val="CDACF904"/>
    <w:lvl w:ilvl="0" w:tplc="24A07B22">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654AE6"/>
    <w:multiLevelType w:val="hybridMultilevel"/>
    <w:tmpl w:val="73F2708E"/>
    <w:lvl w:ilvl="0" w:tplc="CB9E2AB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5"/>
  </w:num>
  <w:num w:numId="3" w16cid:durableId="2035112073">
    <w:abstractNumId w:val="25"/>
  </w:num>
  <w:num w:numId="4" w16cid:durableId="1751928911">
    <w:abstractNumId w:val="12"/>
  </w:num>
  <w:num w:numId="5" w16cid:durableId="507794848">
    <w:abstractNumId w:val="38"/>
  </w:num>
  <w:num w:numId="6" w16cid:durableId="408158401">
    <w:abstractNumId w:val="7"/>
  </w:num>
  <w:num w:numId="7" w16cid:durableId="1128204917">
    <w:abstractNumId w:val="26"/>
  </w:num>
  <w:num w:numId="8" w16cid:durableId="1675454848">
    <w:abstractNumId w:val="8"/>
  </w:num>
  <w:num w:numId="9" w16cid:durableId="2121948387">
    <w:abstractNumId w:val="21"/>
  </w:num>
  <w:num w:numId="10" w16cid:durableId="1769693066">
    <w:abstractNumId w:val="18"/>
  </w:num>
  <w:num w:numId="11" w16cid:durableId="1094016901">
    <w:abstractNumId w:val="37"/>
  </w:num>
  <w:num w:numId="12" w16cid:durableId="361171771">
    <w:abstractNumId w:val="3"/>
  </w:num>
  <w:num w:numId="13" w16cid:durableId="158666698">
    <w:abstractNumId w:val="13"/>
  </w:num>
  <w:num w:numId="14" w16cid:durableId="2001420510">
    <w:abstractNumId w:val="32"/>
  </w:num>
  <w:num w:numId="15" w16cid:durableId="405616838">
    <w:abstractNumId w:val="24"/>
  </w:num>
  <w:num w:numId="16" w16cid:durableId="1485272394">
    <w:abstractNumId w:val="14"/>
  </w:num>
  <w:num w:numId="17" w16cid:durableId="465852916">
    <w:abstractNumId w:val="1"/>
  </w:num>
  <w:num w:numId="18" w16cid:durableId="530149964">
    <w:abstractNumId w:val="27"/>
  </w:num>
  <w:num w:numId="19" w16cid:durableId="877745854">
    <w:abstractNumId w:val="40"/>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4"/>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5"/>
  </w:num>
  <w:num w:numId="32" w16cid:durableId="569577880">
    <w:abstractNumId w:val="17"/>
  </w:num>
  <w:num w:numId="33" w16cid:durableId="504248329">
    <w:abstractNumId w:val="16"/>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1697661050">
    <w:abstractNumId w:val="11"/>
  </w:num>
  <w:num w:numId="39" w16cid:durableId="1131634863">
    <w:abstractNumId w:val="22"/>
  </w:num>
  <w:num w:numId="40" w16cid:durableId="990403773">
    <w:abstractNumId w:val="29"/>
  </w:num>
  <w:num w:numId="41" w16cid:durableId="199649479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0BBB"/>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0784"/>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3743"/>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0584"/>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06DB4"/>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2E1E"/>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172D"/>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31FD"/>
    <w:rsid w:val="00C856DC"/>
    <w:rsid w:val="00C87387"/>
    <w:rsid w:val="00C874DC"/>
    <w:rsid w:val="00C900BC"/>
    <w:rsid w:val="00C907B9"/>
    <w:rsid w:val="00C91943"/>
    <w:rsid w:val="00C92B1D"/>
    <w:rsid w:val="00C95E52"/>
    <w:rsid w:val="00C96FA0"/>
    <w:rsid w:val="00C97A8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1E32"/>
    <w:rsid w:val="00D529DD"/>
    <w:rsid w:val="00D52F05"/>
    <w:rsid w:val="00D5385A"/>
    <w:rsid w:val="00D54B0F"/>
    <w:rsid w:val="00D55307"/>
    <w:rsid w:val="00D5549A"/>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B7920"/>
    <w:rsid w:val="00EC0AB6"/>
    <w:rsid w:val="00EC1891"/>
    <w:rsid w:val="00EC3D6E"/>
    <w:rsid w:val="00EC4C09"/>
    <w:rsid w:val="00EC5878"/>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5E9C"/>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16C2"/>
    <w:rsid w:val="00FA249C"/>
    <w:rsid w:val="00FA2FDA"/>
    <w:rsid w:val="00FA4587"/>
    <w:rsid w:val="00FA4DCD"/>
    <w:rsid w:val="00FA69EE"/>
    <w:rsid w:val="00FB0675"/>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22403</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2024-12-19T12:46:00Z</cp:lastPrinted>
  <dcterms:created xsi:type="dcterms:W3CDTF">2024-12-19T12:53:00Z</dcterms:created>
  <dcterms:modified xsi:type="dcterms:W3CDTF">2024-12-19T13:08:00Z</dcterms:modified>
</cp:coreProperties>
</file>