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2D222BBC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725958">
        <w:t>024</w:t>
      </w:r>
      <w:r w:rsidR="00173D80" w:rsidRPr="00725958">
        <w:t>-01/</w:t>
      </w:r>
      <w:r w:rsidR="0010196F" w:rsidRPr="00725958">
        <w:t>22</w:t>
      </w:r>
      <w:r w:rsidR="00173D80" w:rsidRPr="00725958">
        <w:t>-01/</w:t>
      </w:r>
      <w:r w:rsidR="00725958">
        <w:t>49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14F603B2" w:rsidR="00E54028" w:rsidRDefault="00E54028" w:rsidP="00E54028">
      <w:r>
        <w:t xml:space="preserve">U Omišlju, </w:t>
      </w:r>
      <w:r w:rsidR="00725958">
        <w:t>13.09.2022.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4D337054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3672A3">
              <w:rPr>
                <w:b/>
                <w:sz w:val="24"/>
                <w:szCs w:val="24"/>
              </w:rPr>
              <w:t xml:space="preserve">usluge </w:t>
            </w:r>
            <w:r w:rsidR="00501B93">
              <w:rPr>
                <w:b/>
                <w:sz w:val="24"/>
                <w:szCs w:val="24"/>
              </w:rPr>
              <w:t>projektiranja</w:t>
            </w:r>
            <w:r w:rsidR="003672A3" w:rsidRPr="003672A3">
              <w:rPr>
                <w:b/>
                <w:sz w:val="24"/>
                <w:szCs w:val="24"/>
              </w:rPr>
              <w:t xml:space="preserve"> </w:t>
            </w:r>
            <w:r w:rsidR="00501B93">
              <w:rPr>
                <w:b/>
                <w:sz w:val="24"/>
                <w:szCs w:val="24"/>
              </w:rPr>
              <w:t>krovnih fotonaponskih elektrana na području Općine Omišalj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1031035C" w:rsidR="00FF61E7" w:rsidRPr="00826B5B" w:rsidRDefault="00173D80" w:rsidP="00EC0AB6">
      <w:r w:rsidRPr="00826B5B">
        <w:t xml:space="preserve">Kristijan Lončarić, Viši stručni suradnik za </w:t>
      </w:r>
      <w:r w:rsidR="004746C6">
        <w:t>javnu nabavu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5E152142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EE3227">
        <w:rPr>
          <w:sz w:val="24"/>
          <w:szCs w:val="24"/>
        </w:rPr>
        <w:t>42/22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1F5BB8E7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BB46A2">
        <w:rPr>
          <w:sz w:val="24"/>
          <w:szCs w:val="24"/>
        </w:rPr>
        <w:t>160.000,00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02B38977" w14:textId="4A443F36" w:rsidR="000E27B7" w:rsidRPr="00C4202C" w:rsidRDefault="000E27B7" w:rsidP="000E27B7">
      <w:pPr>
        <w:jc w:val="both"/>
      </w:pPr>
      <w:r>
        <w:t xml:space="preserve">Naručitelj će provesti javni poziv temeljem kojeg će se zainteresirane fizičke osobe - građani s područja Općine Omišalj moći prijaviti za sufinanciranje izrade </w:t>
      </w:r>
      <w:r w:rsidRPr="000635C6">
        <w:t>glavn</w:t>
      </w:r>
      <w:r>
        <w:t>og</w:t>
      </w:r>
      <w:r w:rsidRPr="000635C6">
        <w:t xml:space="preserve"> elektrotehničk</w:t>
      </w:r>
      <w:r>
        <w:t>og</w:t>
      </w:r>
      <w:r w:rsidRPr="000635C6">
        <w:t xml:space="preserve"> projekt</w:t>
      </w:r>
      <w:r>
        <w:t>a za krovne fotonaponske</w:t>
      </w:r>
      <w:r w:rsidRPr="000635C6">
        <w:t xml:space="preserve"> elektrane</w:t>
      </w:r>
      <w:r>
        <w:t xml:space="preserve"> maksimalne snage do 30 kW.</w:t>
      </w:r>
    </w:p>
    <w:p w14:paraId="5F686BFA" w14:textId="77777777" w:rsidR="000E27B7" w:rsidRDefault="000E27B7" w:rsidP="00C547CD">
      <w:pPr>
        <w:jc w:val="both"/>
      </w:pPr>
    </w:p>
    <w:p w14:paraId="343E66B6" w14:textId="6632350A" w:rsidR="006D2A27" w:rsidRPr="00826B5B" w:rsidRDefault="006D2A27" w:rsidP="001F7015">
      <w:pPr>
        <w:jc w:val="both"/>
      </w:pPr>
      <w:r w:rsidRPr="009119DF">
        <w:t>Predmet nabave obuhvaća</w:t>
      </w:r>
      <w:r w:rsidR="009119DF">
        <w:t xml:space="preserve"> </w:t>
      </w:r>
      <w:r w:rsidR="00C547CD" w:rsidRPr="00C547CD">
        <w:t xml:space="preserve">usluge projektiranja </w:t>
      </w:r>
      <w:r w:rsidR="000E27B7">
        <w:t xml:space="preserve">navedenih </w:t>
      </w:r>
      <w:r w:rsidR="00C547CD" w:rsidRPr="00C547CD">
        <w:t>krovnih fotonaponskih elektrana</w:t>
      </w:r>
      <w:r w:rsidR="000E27B7">
        <w:t xml:space="preserve"> </w:t>
      </w:r>
      <w:r w:rsidR="001F7015">
        <w:t>sukladno Zakonu o gradnji (</w:t>
      </w:r>
      <w:r w:rsidR="001F7015">
        <w:rPr>
          <w:color w:val="000000"/>
        </w:rPr>
        <w:t xml:space="preserve">„Narodne novine“ broj </w:t>
      </w:r>
      <w:r w:rsidR="001F7015" w:rsidRPr="001F7015">
        <w:rPr>
          <w:color w:val="000000"/>
        </w:rPr>
        <w:t>153/13, 20/17, 39/19</w:t>
      </w:r>
      <w:r w:rsidR="001F7015">
        <w:rPr>
          <w:color w:val="000000"/>
        </w:rPr>
        <w:t xml:space="preserve"> i</w:t>
      </w:r>
      <w:r w:rsidR="001F7015" w:rsidRPr="001F7015">
        <w:rPr>
          <w:color w:val="000000"/>
        </w:rPr>
        <w:t xml:space="preserve"> 125/19</w:t>
      </w:r>
      <w:r w:rsidR="001F7015">
        <w:t>), Pravilniku o jednostavnim i drugim građevinama i radovima</w:t>
      </w:r>
      <w:r w:rsidR="001F7015">
        <w:rPr>
          <w:color w:val="000000"/>
        </w:rPr>
        <w:t xml:space="preserve"> („Narodne novine“, broj 112/17, 34/18, 36/19, 98/19 i 31/20)</w:t>
      </w:r>
      <w:r w:rsidR="001F7015">
        <w:t xml:space="preserve"> te drugim relevantnim propisima, </w:t>
      </w:r>
      <w:r w:rsidR="00685222">
        <w:t>a</w:t>
      </w:r>
      <w:r w:rsidR="001F7015">
        <w:t xml:space="preserve"> </w:t>
      </w:r>
      <w:r w:rsidR="000E27B7">
        <w:t xml:space="preserve">u suradnji s </w:t>
      </w:r>
      <w:r w:rsidR="001F7015">
        <w:t>vlasnikom/vlasnicima nekretnine za koju se izrađuje projekt.</w:t>
      </w:r>
    </w:p>
    <w:p w14:paraId="142EBEB3" w14:textId="60568C6D" w:rsidR="00BA6AE1" w:rsidRPr="000635C6" w:rsidRDefault="00BA6AE1" w:rsidP="006D2A27"/>
    <w:p w14:paraId="0E73AB03" w14:textId="12795E94" w:rsidR="000635C6" w:rsidRPr="000635C6" w:rsidRDefault="000635C6" w:rsidP="000635C6">
      <w:r w:rsidRPr="000635C6">
        <w:t xml:space="preserve">Odabrani </w:t>
      </w:r>
      <w:r w:rsidR="00713873">
        <w:t>p</w:t>
      </w:r>
      <w:r w:rsidRPr="000635C6">
        <w:t xml:space="preserve">onuditelj je </w:t>
      </w:r>
      <w:r w:rsidR="006168B9">
        <w:t xml:space="preserve">u sklopu predmeta nabave </w:t>
      </w:r>
      <w:r w:rsidRPr="000635C6">
        <w:t>dužan:</w:t>
      </w:r>
    </w:p>
    <w:p w14:paraId="35026455" w14:textId="2B90ECC8" w:rsidR="000635C6" w:rsidRPr="000635C6" w:rsidRDefault="006168B9" w:rsidP="000635C6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635C6" w:rsidRPr="000635C6">
        <w:rPr>
          <w:sz w:val="24"/>
          <w:szCs w:val="24"/>
        </w:rPr>
        <w:t xml:space="preserve">držati dvije javne tribine </w:t>
      </w:r>
      <w:r>
        <w:rPr>
          <w:sz w:val="24"/>
          <w:szCs w:val="24"/>
        </w:rPr>
        <w:t>na</w:t>
      </w:r>
      <w:r w:rsidR="000635C6" w:rsidRPr="000635C6">
        <w:rPr>
          <w:sz w:val="24"/>
          <w:szCs w:val="24"/>
        </w:rPr>
        <w:t xml:space="preserve"> tem</w:t>
      </w:r>
      <w:r w:rsidR="00713873">
        <w:rPr>
          <w:sz w:val="24"/>
          <w:szCs w:val="24"/>
        </w:rPr>
        <w:t>u</w:t>
      </w:r>
      <w:r w:rsidR="000635C6" w:rsidRPr="000635C6">
        <w:rPr>
          <w:sz w:val="24"/>
          <w:szCs w:val="24"/>
        </w:rPr>
        <w:t xml:space="preserve"> energetske učinkovitosti i </w:t>
      </w:r>
      <w:r>
        <w:rPr>
          <w:sz w:val="24"/>
          <w:szCs w:val="24"/>
        </w:rPr>
        <w:t xml:space="preserve">krovnih </w:t>
      </w:r>
      <w:r w:rsidR="000635C6" w:rsidRPr="000635C6">
        <w:rPr>
          <w:sz w:val="24"/>
          <w:szCs w:val="24"/>
        </w:rPr>
        <w:t>fotonaponskih elektrana na obiteljskim kućama i višestambeni</w:t>
      </w:r>
      <w:r>
        <w:rPr>
          <w:sz w:val="24"/>
          <w:szCs w:val="24"/>
        </w:rPr>
        <w:t>m</w:t>
      </w:r>
      <w:r w:rsidR="000635C6" w:rsidRPr="000635C6">
        <w:rPr>
          <w:sz w:val="24"/>
          <w:szCs w:val="24"/>
        </w:rPr>
        <w:t xml:space="preserve"> zgrada</w:t>
      </w:r>
      <w:r>
        <w:rPr>
          <w:sz w:val="24"/>
          <w:szCs w:val="24"/>
        </w:rPr>
        <w:t>ma u terminima koje će odrediti</w:t>
      </w:r>
      <w:r w:rsidR="000635C6" w:rsidRPr="000635C6">
        <w:rPr>
          <w:sz w:val="24"/>
          <w:szCs w:val="24"/>
        </w:rPr>
        <w:t xml:space="preserve"> Naručitelj. </w:t>
      </w:r>
      <w:r w:rsidR="00715D50">
        <w:rPr>
          <w:sz w:val="24"/>
          <w:szCs w:val="24"/>
        </w:rPr>
        <w:t>Naručitelj</w:t>
      </w:r>
      <w:r w:rsidR="000635C6" w:rsidRPr="000635C6">
        <w:rPr>
          <w:sz w:val="24"/>
          <w:szCs w:val="24"/>
        </w:rPr>
        <w:t xml:space="preserve"> će Ponuditelj</w:t>
      </w:r>
      <w:r w:rsidR="00715D50">
        <w:rPr>
          <w:sz w:val="24"/>
          <w:szCs w:val="24"/>
        </w:rPr>
        <w:t>a obavijestiti o terminu</w:t>
      </w:r>
      <w:r w:rsidR="000635C6" w:rsidRPr="000635C6">
        <w:rPr>
          <w:sz w:val="24"/>
          <w:szCs w:val="24"/>
        </w:rPr>
        <w:t xml:space="preserve"> </w:t>
      </w:r>
      <w:r w:rsidR="00715D50">
        <w:rPr>
          <w:sz w:val="24"/>
          <w:szCs w:val="24"/>
        </w:rPr>
        <w:t>održavanja navedenih tribina minimalno</w:t>
      </w:r>
      <w:r w:rsidR="000635C6" w:rsidRPr="000635C6">
        <w:rPr>
          <w:sz w:val="24"/>
          <w:szCs w:val="24"/>
        </w:rPr>
        <w:t xml:space="preserve"> 15 dana </w:t>
      </w:r>
      <w:r w:rsidR="00715D50">
        <w:rPr>
          <w:sz w:val="24"/>
          <w:szCs w:val="24"/>
        </w:rPr>
        <w:t xml:space="preserve">prije </w:t>
      </w:r>
      <w:r w:rsidR="001028BF">
        <w:rPr>
          <w:sz w:val="24"/>
          <w:szCs w:val="24"/>
        </w:rPr>
        <w:t>održavanja</w:t>
      </w:r>
      <w:r w:rsidR="00713873">
        <w:rPr>
          <w:sz w:val="24"/>
          <w:szCs w:val="24"/>
        </w:rPr>
        <w:t xml:space="preserve"> istih</w:t>
      </w:r>
      <w:r w:rsidR="00715D50">
        <w:rPr>
          <w:sz w:val="24"/>
          <w:szCs w:val="24"/>
        </w:rPr>
        <w:t>;</w:t>
      </w:r>
      <w:r w:rsidR="000635C6" w:rsidRPr="000635C6">
        <w:rPr>
          <w:sz w:val="24"/>
          <w:szCs w:val="24"/>
        </w:rPr>
        <w:t xml:space="preserve"> </w:t>
      </w:r>
    </w:p>
    <w:p w14:paraId="4F8F8FBA" w14:textId="4DC7A3A7" w:rsidR="000635C6" w:rsidRDefault="001028BF" w:rsidP="000635C6">
      <w:pPr>
        <w:pStyle w:val="ListParagraph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suradnji s vlasnicima nekretnina </w:t>
      </w:r>
      <w:r w:rsidR="000635C6" w:rsidRPr="000635C6">
        <w:rPr>
          <w:sz w:val="24"/>
          <w:szCs w:val="24"/>
        </w:rPr>
        <w:t>izraditi glavn</w:t>
      </w:r>
      <w:r w:rsidR="00715D50">
        <w:rPr>
          <w:sz w:val="24"/>
          <w:szCs w:val="24"/>
        </w:rPr>
        <w:t>e</w:t>
      </w:r>
      <w:r w:rsidR="000635C6" w:rsidRPr="000635C6">
        <w:rPr>
          <w:sz w:val="24"/>
          <w:szCs w:val="24"/>
        </w:rPr>
        <w:t xml:space="preserve"> elektrotehničk</w:t>
      </w:r>
      <w:r w:rsidR="00715D50">
        <w:rPr>
          <w:sz w:val="24"/>
          <w:szCs w:val="24"/>
        </w:rPr>
        <w:t>e</w:t>
      </w:r>
      <w:r w:rsidR="000635C6" w:rsidRPr="000635C6">
        <w:rPr>
          <w:sz w:val="24"/>
          <w:szCs w:val="24"/>
        </w:rPr>
        <w:t xml:space="preserve"> projekt</w:t>
      </w:r>
      <w:r w:rsidR="00715D50">
        <w:rPr>
          <w:sz w:val="24"/>
          <w:szCs w:val="24"/>
        </w:rPr>
        <w:t>e za krovne fotonaponske</w:t>
      </w:r>
      <w:r w:rsidR="000635C6" w:rsidRPr="000635C6">
        <w:rPr>
          <w:sz w:val="24"/>
          <w:szCs w:val="24"/>
        </w:rPr>
        <w:t xml:space="preserve"> elektrane</w:t>
      </w:r>
      <w:r w:rsidR="00715D50">
        <w:rPr>
          <w:sz w:val="24"/>
          <w:szCs w:val="24"/>
        </w:rPr>
        <w:t xml:space="preserve"> </w:t>
      </w:r>
      <w:r w:rsidR="000635C6" w:rsidRPr="000635C6">
        <w:rPr>
          <w:sz w:val="24"/>
          <w:szCs w:val="24"/>
        </w:rPr>
        <w:t>te biti uključen u projekt</w:t>
      </w:r>
      <w:r>
        <w:rPr>
          <w:sz w:val="24"/>
          <w:szCs w:val="24"/>
        </w:rPr>
        <w:t>e</w:t>
      </w:r>
      <w:r w:rsidR="000635C6" w:rsidRPr="000635C6">
        <w:rPr>
          <w:sz w:val="24"/>
          <w:szCs w:val="24"/>
        </w:rPr>
        <w:t xml:space="preserve"> sve do ishođenja elektroenergetske suglasnosti od strane HEP</w:t>
      </w:r>
      <w:r>
        <w:rPr>
          <w:sz w:val="24"/>
          <w:szCs w:val="24"/>
        </w:rPr>
        <w:t xml:space="preserve"> </w:t>
      </w:r>
      <w:r w:rsidR="000635C6" w:rsidRPr="000635C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635C6" w:rsidRPr="000635C6">
        <w:rPr>
          <w:sz w:val="24"/>
          <w:szCs w:val="24"/>
        </w:rPr>
        <w:t xml:space="preserve">Operatora distribucijskog sustava d.o.o. za priključak </w:t>
      </w:r>
      <w:r w:rsidR="00713873">
        <w:rPr>
          <w:sz w:val="24"/>
          <w:szCs w:val="24"/>
        </w:rPr>
        <w:t>fotonaponske</w:t>
      </w:r>
      <w:r w:rsidR="000635C6" w:rsidRPr="000635C6">
        <w:rPr>
          <w:sz w:val="24"/>
          <w:szCs w:val="24"/>
        </w:rPr>
        <w:t xml:space="preserve"> elektran</w:t>
      </w:r>
      <w:r w:rsidR="00713873">
        <w:rPr>
          <w:sz w:val="24"/>
          <w:szCs w:val="24"/>
        </w:rPr>
        <w:t>e</w:t>
      </w:r>
      <w:r w:rsidR="000635C6" w:rsidRPr="000635C6">
        <w:rPr>
          <w:sz w:val="24"/>
          <w:szCs w:val="24"/>
        </w:rPr>
        <w:t xml:space="preserve"> iz projekta</w:t>
      </w:r>
      <w:r w:rsidR="00713873">
        <w:rPr>
          <w:sz w:val="24"/>
          <w:szCs w:val="24"/>
        </w:rPr>
        <w:t xml:space="preserve"> na mrežu</w:t>
      </w:r>
      <w:r w:rsidR="000635C6" w:rsidRPr="000635C6">
        <w:rPr>
          <w:sz w:val="24"/>
          <w:szCs w:val="24"/>
        </w:rPr>
        <w:t>.</w:t>
      </w:r>
    </w:p>
    <w:p w14:paraId="0EDED5D1" w14:textId="68CE2F8B" w:rsidR="00C4202C" w:rsidRDefault="00C4202C" w:rsidP="00C4202C">
      <w:pPr>
        <w:jc w:val="both"/>
      </w:pPr>
    </w:p>
    <w:p w14:paraId="0E8A0356" w14:textId="7D0201B0" w:rsidR="004564BB" w:rsidRDefault="004564BB" w:rsidP="004564BB">
      <w:pPr>
        <w:jc w:val="both"/>
        <w:rPr>
          <w:color w:val="000000"/>
        </w:rPr>
      </w:pPr>
      <w:r w:rsidRPr="00C66961">
        <w:rPr>
          <w:color w:val="000000"/>
        </w:rPr>
        <w:t xml:space="preserve">Odabrani </w:t>
      </w:r>
      <w:r w:rsidR="009513BB">
        <w:rPr>
          <w:color w:val="000000"/>
        </w:rPr>
        <w:t>p</w:t>
      </w:r>
      <w:r w:rsidRPr="00C66961">
        <w:rPr>
          <w:color w:val="000000"/>
        </w:rPr>
        <w:t xml:space="preserve">onuditelj je dužan </w:t>
      </w:r>
      <w:r>
        <w:rPr>
          <w:color w:val="000000"/>
        </w:rPr>
        <w:t>predmet nabave</w:t>
      </w:r>
      <w:r w:rsidRPr="00C66961">
        <w:rPr>
          <w:color w:val="000000"/>
        </w:rPr>
        <w:t xml:space="preserve"> izvesti svojim materijalom, opremom i transportnim sredstvima</w:t>
      </w:r>
      <w:r>
        <w:rPr>
          <w:color w:val="000000"/>
        </w:rPr>
        <w:t xml:space="preserve">, sukladno specifikacijama navedenima u Troškovniku </w:t>
      </w:r>
      <w:r w:rsidRPr="00C7253D">
        <w:rPr>
          <w:color w:val="000000"/>
        </w:rPr>
        <w:t>koji se ponuditeljima dostavlja kao Prilog 2. ovom Pozivu te čini njegov sastavni dio</w:t>
      </w:r>
      <w:r w:rsidRPr="00C66961">
        <w:rPr>
          <w:color w:val="000000"/>
        </w:rPr>
        <w:t>.</w:t>
      </w:r>
    </w:p>
    <w:p w14:paraId="5FAEB715" w14:textId="77777777" w:rsidR="004564BB" w:rsidRDefault="004564BB" w:rsidP="004564BB">
      <w:pPr>
        <w:jc w:val="both"/>
      </w:pPr>
    </w:p>
    <w:p w14:paraId="4CB28D59" w14:textId="4A19EC93" w:rsidR="004564BB" w:rsidRDefault="004564BB" w:rsidP="004564BB">
      <w:pPr>
        <w:tabs>
          <w:tab w:val="left" w:pos="-2160"/>
        </w:tabs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>Troškovnika</w:t>
      </w:r>
      <w:r>
        <w:rPr>
          <w:color w:val="000000"/>
        </w:rPr>
        <w:t xml:space="preserve"> </w:t>
      </w:r>
      <w:r w:rsidRPr="00484045">
        <w:rPr>
          <w:color w:val="000000"/>
        </w:rPr>
        <w:t xml:space="preserve">uključiti sve troškove neophodne </w:t>
      </w:r>
      <w:r w:rsidRPr="00484045">
        <w:rPr>
          <w:bCs/>
        </w:rPr>
        <w:t>za izvršenje usluga</w:t>
      </w:r>
      <w:r w:rsidR="00C97386">
        <w:rPr>
          <w:bCs/>
        </w:rPr>
        <w:t xml:space="preserve"> koje su predmet nabave</w:t>
      </w:r>
      <w:r w:rsidRPr="00484045">
        <w:rPr>
          <w:bCs/>
        </w:rPr>
        <w:t xml:space="preserve">, poput troškova </w:t>
      </w:r>
      <w:r>
        <w:rPr>
          <w:bCs/>
        </w:rPr>
        <w:t xml:space="preserve">rada, prijevoza, </w:t>
      </w:r>
      <w:r w:rsidR="009513BB">
        <w:rPr>
          <w:bCs/>
        </w:rPr>
        <w:t>materijala</w:t>
      </w:r>
      <w:r w:rsidRPr="00484045">
        <w:rPr>
          <w:bCs/>
        </w:rPr>
        <w:t xml:space="preserve"> i sl. </w:t>
      </w:r>
      <w:r w:rsidRPr="00484045">
        <w:rPr>
          <w:color w:val="000000"/>
        </w:rPr>
        <w:t>Naknade iznad jediničnih cijena navedenih u Troškovniku neće se priznavati.</w:t>
      </w:r>
    </w:p>
    <w:p w14:paraId="78E57EAC" w14:textId="77777777" w:rsidR="004564BB" w:rsidRDefault="004564BB" w:rsidP="004564BB">
      <w:pPr>
        <w:tabs>
          <w:tab w:val="left" w:pos="-2160"/>
        </w:tabs>
        <w:jc w:val="both"/>
        <w:rPr>
          <w:color w:val="000000"/>
        </w:rPr>
      </w:pPr>
    </w:p>
    <w:p w14:paraId="1739898B" w14:textId="27051AC9" w:rsidR="004564BB" w:rsidRPr="00C97386" w:rsidRDefault="004564BB" w:rsidP="004564BB">
      <w:pPr>
        <w:jc w:val="both"/>
        <w:rPr>
          <w:b/>
          <w:bCs/>
        </w:rPr>
      </w:pPr>
      <w:r w:rsidRPr="00C97386">
        <w:rPr>
          <w:b/>
          <w:bCs/>
        </w:rPr>
        <w:t xml:space="preserve">Odabrani Ponuditelj će predmet nabave obavljati u opsegu i rokovima utvrđenima od strane Naručitelja, temeljem pismenog ili usmenog naloga. Rok odaziva na nalog Naručitelja iznosi najkasnije </w:t>
      </w:r>
      <w:r w:rsidR="009513BB" w:rsidRPr="00C97386">
        <w:rPr>
          <w:b/>
          <w:bCs/>
        </w:rPr>
        <w:t>4</w:t>
      </w:r>
      <w:r w:rsidRPr="00C97386">
        <w:rPr>
          <w:b/>
          <w:bCs/>
        </w:rPr>
        <w:t>8 sati od izdavanja naloga.</w:t>
      </w:r>
      <w:r w:rsidR="00C97386" w:rsidRPr="00C97386">
        <w:rPr>
          <w:b/>
          <w:bCs/>
        </w:rPr>
        <w:t xml:space="preserve"> Rok za izradu projekta iznosi maksimalno 30 dana od dana naloga Naručitelja. </w:t>
      </w:r>
      <w:r w:rsidRPr="00C97386">
        <w:rPr>
          <w:b/>
          <w:bCs/>
          <w:color w:val="000000"/>
        </w:rPr>
        <w:t>Ukoliko Ponuditelj ne bude izvršavao svoje ugovorne obveze kako je navedeno, Naručitelj će Ponuditelju obračunati i naplatiti ugovorom definiranu kaznu.</w:t>
      </w:r>
    </w:p>
    <w:p w14:paraId="09AEB608" w14:textId="77777777" w:rsidR="004564BB" w:rsidRDefault="004564BB" w:rsidP="000635C6"/>
    <w:p w14:paraId="735622A9" w14:textId="5189A8BD" w:rsidR="00BA6AE1" w:rsidRPr="00826B5B" w:rsidRDefault="00BA6AE1" w:rsidP="000635C6">
      <w:r w:rsidRPr="00826B5B">
        <w:t>CPV oznaka:</w:t>
      </w:r>
      <w:r w:rsidR="0019476C">
        <w:t xml:space="preserve"> </w:t>
      </w:r>
      <w:r w:rsidR="0019476C" w:rsidRPr="0019476C">
        <w:t xml:space="preserve">71323100-9 </w:t>
      </w:r>
      <w:r w:rsidRPr="00826B5B">
        <w:t>-</w:t>
      </w:r>
      <w:r w:rsidR="0019476C">
        <w:t xml:space="preserve"> </w:t>
      </w:r>
      <w:r w:rsidR="0019476C" w:rsidRPr="0019476C">
        <w:t>Usluge tehničkog projektiranja za industrijski proces i proizvodnju</w:t>
      </w:r>
      <w:r w:rsidR="00EE3227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11996CCE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BB46A2">
        <w:rPr>
          <w:sz w:val="24"/>
          <w:szCs w:val="24"/>
        </w:rPr>
        <w:t>područje Općine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7637F619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2C2C0F">
        <w:rPr>
          <w:color w:val="000000"/>
        </w:rPr>
        <w:t xml:space="preserve">do </w:t>
      </w:r>
      <w:r w:rsidR="002C2C0F" w:rsidRPr="00EE3227">
        <w:rPr>
          <w:color w:val="000000"/>
        </w:rPr>
        <w:t>31.12.2023.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0206EC82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Pr="00BB46A2">
        <w:rPr>
          <w:bCs/>
          <w:color w:val="000000"/>
        </w:rPr>
        <w:t>uslug</w:t>
      </w:r>
      <w:r w:rsidR="003A51F9" w:rsidRPr="00BB46A2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55CC2D74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BB46A2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77777777" w:rsidR="00841A17" w:rsidRPr="00826B5B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>Izvadak iz sudskog, obrtnog, strukovnog ili drugog odgovarajućeg registra države poslovnog na</w:t>
      </w:r>
      <w:r w:rsidR="00E307E5" w:rsidRPr="00826B5B">
        <w:t>stana.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4101E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4101EB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4101EB" w:rsidRDefault="0011225E" w:rsidP="0011225E">
      <w:pPr>
        <w:tabs>
          <w:tab w:val="left" w:pos="0"/>
        </w:tabs>
        <w:jc w:val="both"/>
      </w:pPr>
      <w:r w:rsidRPr="004101EB">
        <w:t xml:space="preserve">Troškovnik mora biti u cijelosti popunjen, potpisan </w:t>
      </w:r>
      <w:r w:rsidR="001E3030" w:rsidRPr="004101EB">
        <w:t>od strane ovlaštene osobe P</w:t>
      </w:r>
      <w:r w:rsidRPr="004101EB">
        <w:t xml:space="preserve">onuditelja i ovjeren pečatom. </w:t>
      </w:r>
      <w:r w:rsidR="002D78FD" w:rsidRPr="004101EB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4101EB">
        <w:t xml:space="preserve">Obrazac Troškovnika dostavlja se </w:t>
      </w:r>
      <w:r w:rsidR="001E3030" w:rsidRPr="004101EB">
        <w:t>P</w:t>
      </w:r>
      <w:r w:rsidRPr="004101EB">
        <w:t>onuditelju kao prilog uz ovaj Poziv.</w:t>
      </w:r>
    </w:p>
    <w:p w14:paraId="6AF92822" w14:textId="19607436" w:rsidR="001C0ACB" w:rsidRPr="004101EB" w:rsidRDefault="004151DA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4101EB">
        <w:rPr>
          <w:b/>
          <w:bCs/>
          <w:sz w:val="24"/>
          <w:szCs w:val="24"/>
        </w:rPr>
        <w:t>Dokaz o tehničkoj i stručnoj sposobnosti za izvršenje predmeta nabave</w:t>
      </w:r>
    </w:p>
    <w:p w14:paraId="24570700" w14:textId="7DB0A7EB" w:rsidR="004151DA" w:rsidRPr="004101EB" w:rsidRDefault="004101EB" w:rsidP="004151DA">
      <w:pPr>
        <w:tabs>
          <w:tab w:val="left" w:pos="0"/>
        </w:tabs>
        <w:jc w:val="both"/>
      </w:pPr>
      <w:r>
        <w:t>Ponuditelj</w:t>
      </w:r>
      <w:r w:rsidR="004151DA" w:rsidRPr="004101EB">
        <w:t xml:space="preserve"> je dužan </w:t>
      </w:r>
      <w:r>
        <w:t xml:space="preserve">u sklopu ponude </w:t>
      </w:r>
      <w:r w:rsidR="004151DA" w:rsidRPr="004101EB">
        <w:t>dostaviti Izjavu kojom</w:t>
      </w:r>
      <w:r w:rsidR="00F51C92" w:rsidRPr="004101EB">
        <w:t xml:space="preserve"> pod materijalnom i kaznenom odgovornošću potvrđuje da raspolaže adekvatnim ljudskim resursima - </w:t>
      </w:r>
      <w:r w:rsidR="00F51C92" w:rsidRPr="004101EB">
        <w:rPr>
          <w:b/>
          <w:bCs/>
        </w:rPr>
        <w:t xml:space="preserve">minimalno jednim ovlaštenim inženjerom elektrotehnike i </w:t>
      </w:r>
      <w:r w:rsidR="00EB4AA9">
        <w:rPr>
          <w:b/>
          <w:bCs/>
        </w:rPr>
        <w:t xml:space="preserve">minimalno </w:t>
      </w:r>
      <w:r w:rsidR="00F51C92" w:rsidRPr="004101EB">
        <w:rPr>
          <w:b/>
          <w:bCs/>
        </w:rPr>
        <w:t xml:space="preserve">jednim </w:t>
      </w:r>
      <w:r>
        <w:rPr>
          <w:b/>
          <w:bCs/>
        </w:rPr>
        <w:t xml:space="preserve">ovlaštenim </w:t>
      </w:r>
      <w:r w:rsidR="00F51C92" w:rsidRPr="004101EB">
        <w:rPr>
          <w:b/>
          <w:bCs/>
        </w:rPr>
        <w:t>inženjerom građevine</w:t>
      </w:r>
      <w:r w:rsidR="00F51C92" w:rsidRPr="004101EB">
        <w:t xml:space="preserve"> koji će sudjelovati </w:t>
      </w:r>
      <w:r w:rsidR="00EB4AA9">
        <w:t xml:space="preserve">u </w:t>
      </w:r>
      <w:r w:rsidR="00F51C92" w:rsidRPr="004101EB">
        <w:t>provođenj</w:t>
      </w:r>
      <w:r w:rsidR="00EB4AA9">
        <w:t>u</w:t>
      </w:r>
      <w:r w:rsidR="00F51C92" w:rsidRPr="004101EB">
        <w:t xml:space="preserve"> predmeta nabave. </w:t>
      </w:r>
      <w:r>
        <w:t xml:space="preserve">Izjava se </w:t>
      </w:r>
      <w:r w:rsidR="00EB4AA9">
        <w:t>dostavlja</w:t>
      </w:r>
      <w:r>
        <w:t xml:space="preserve"> u slobodnoj formi te je u sklopu iste, uz prethodno navedeno</w:t>
      </w:r>
      <w:r w:rsidR="004337CB">
        <w:t xml:space="preserve">, Ponuditelj </w:t>
      </w:r>
      <w:r w:rsidR="00EB4AA9">
        <w:t>dužan</w:t>
      </w:r>
      <w:r w:rsidR="004337CB">
        <w:t xml:space="preserve"> dostaviti podatke o </w:t>
      </w:r>
      <w:r w:rsidR="00EB4AA9">
        <w:t>osobama</w:t>
      </w:r>
      <w:r w:rsidR="004337CB">
        <w:t xml:space="preserve"> koji će raditi na realizaciji ugovora -</w:t>
      </w:r>
      <w:r w:rsidR="00F51C92" w:rsidRPr="004101EB">
        <w:t xml:space="preserve"> </w:t>
      </w:r>
      <w:r w:rsidR="00EB4AA9">
        <w:t xml:space="preserve">njihovo </w:t>
      </w:r>
      <w:r w:rsidR="00F51C92" w:rsidRPr="004101EB">
        <w:t>ime, prezime</w:t>
      </w:r>
      <w:r w:rsidR="004337CB">
        <w:t xml:space="preserve">, </w:t>
      </w:r>
      <w:r w:rsidR="00EB4AA9">
        <w:t xml:space="preserve">razinu </w:t>
      </w:r>
      <w:r w:rsidR="004337CB">
        <w:t>stručn</w:t>
      </w:r>
      <w:r w:rsidR="00EB4AA9">
        <w:t>e</w:t>
      </w:r>
      <w:r w:rsidR="004337CB">
        <w:t xml:space="preserve"> sprem</w:t>
      </w:r>
      <w:r w:rsidR="00EB4AA9">
        <w:t>e,</w:t>
      </w:r>
      <w:r w:rsidR="004337CB">
        <w:t xml:space="preserve"> struku </w:t>
      </w:r>
      <w:r w:rsidR="00EB4AA9">
        <w:t>i</w:t>
      </w:r>
      <w:r w:rsidR="00F51C92" w:rsidRPr="004101EB">
        <w:t xml:space="preserve"> kontakt (telefon i e-mail)</w:t>
      </w:r>
      <w:r w:rsidRPr="004101EB">
        <w:t>.</w:t>
      </w:r>
    </w:p>
    <w:p w14:paraId="32E74B9B" w14:textId="3AC321EC" w:rsidR="002D78FD" w:rsidRPr="004101EB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4101EB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4101EB">
        <w:rPr>
          <w:b/>
          <w:bCs/>
          <w:sz w:val="24"/>
          <w:szCs w:val="24"/>
        </w:rPr>
        <w:t>objave</w:t>
      </w:r>
      <w:r w:rsidRPr="004101EB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4101EB" w:rsidRDefault="002D78FD" w:rsidP="0011225E">
      <w:pPr>
        <w:tabs>
          <w:tab w:val="left" w:pos="0"/>
        </w:tabs>
        <w:jc w:val="both"/>
        <w:rPr>
          <w:bCs/>
        </w:rPr>
      </w:pPr>
      <w:r w:rsidRPr="004101EB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4101EB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EB4AA9">
        <w:rPr>
          <w:color w:val="000000"/>
        </w:rPr>
        <w:t xml:space="preserve">Ponudu je potrebno dostaviti u zatvorenoj omotnici s nazivom </w:t>
      </w:r>
      <w:r w:rsidR="00F17FEC" w:rsidRPr="00EB4AA9">
        <w:rPr>
          <w:color w:val="000000"/>
        </w:rPr>
        <w:t>p</w:t>
      </w:r>
      <w:r w:rsidRPr="00EB4AA9">
        <w:rPr>
          <w:color w:val="000000"/>
        </w:rPr>
        <w:t xml:space="preserve">redmeta nabave i </w:t>
      </w:r>
      <w:r w:rsidR="00F17FEC" w:rsidRPr="00EB4AA9">
        <w:rPr>
          <w:color w:val="000000"/>
        </w:rPr>
        <w:t>napomenom „</w:t>
      </w:r>
      <w:r w:rsidR="002D78FD" w:rsidRPr="00EB4AA9">
        <w:rPr>
          <w:color w:val="000000"/>
        </w:rPr>
        <w:t>NE</w:t>
      </w:r>
      <w:r w:rsidR="00F17FEC" w:rsidRPr="00EB4AA9">
        <w:rPr>
          <w:color w:val="000000"/>
        </w:rPr>
        <w:t xml:space="preserve"> </w:t>
      </w:r>
      <w:r w:rsidR="002D78FD" w:rsidRPr="00EB4AA9">
        <w:rPr>
          <w:color w:val="000000"/>
        </w:rPr>
        <w:t>OTVARATI</w:t>
      </w:r>
      <w:r w:rsidR="00F17FEC" w:rsidRPr="00EB4AA9">
        <w:rPr>
          <w:color w:val="000000"/>
        </w:rPr>
        <w:t xml:space="preserve">“, nazivom i </w:t>
      </w:r>
      <w:r w:rsidRPr="00EB4AA9">
        <w:rPr>
          <w:color w:val="000000"/>
        </w:rPr>
        <w:t xml:space="preserve">adresom </w:t>
      </w:r>
      <w:r w:rsidR="003369D8" w:rsidRPr="00EB4AA9">
        <w:rPr>
          <w:color w:val="000000"/>
        </w:rPr>
        <w:t>N</w:t>
      </w:r>
      <w:r w:rsidRPr="00EB4AA9">
        <w:rPr>
          <w:color w:val="000000"/>
        </w:rPr>
        <w:t>aručitelja</w:t>
      </w:r>
      <w:r w:rsidR="00F17FEC" w:rsidRPr="00EB4AA9">
        <w:rPr>
          <w:color w:val="000000"/>
        </w:rPr>
        <w:t xml:space="preserve">, </w:t>
      </w:r>
      <w:r w:rsidRPr="00EB4AA9">
        <w:rPr>
          <w:color w:val="000000"/>
        </w:rPr>
        <w:t xml:space="preserve">nazivom i adresom </w:t>
      </w:r>
      <w:r w:rsidR="003369D8" w:rsidRPr="00EB4AA9">
        <w:rPr>
          <w:color w:val="000000"/>
        </w:rPr>
        <w:t>P</w:t>
      </w:r>
      <w:r w:rsidR="00095511" w:rsidRPr="00EB4AA9">
        <w:rPr>
          <w:color w:val="000000"/>
        </w:rPr>
        <w:t>o</w:t>
      </w:r>
      <w:r w:rsidRPr="00EB4AA9">
        <w:rPr>
          <w:color w:val="000000"/>
        </w:rPr>
        <w:t>nuditelja</w:t>
      </w:r>
      <w:r w:rsidR="00F17FEC" w:rsidRPr="00EB4AA9">
        <w:rPr>
          <w:color w:val="000000"/>
        </w:rPr>
        <w:t xml:space="preserve"> te</w:t>
      </w:r>
      <w:r w:rsidRPr="00EB4AA9">
        <w:rPr>
          <w:color w:val="000000"/>
        </w:rPr>
        <w:t xml:space="preserve"> evidencijskim brojem nabav</w:t>
      </w:r>
      <w:r w:rsidR="00F17FEC" w:rsidRPr="00EB4AA9">
        <w:rPr>
          <w:color w:val="000000"/>
        </w:rPr>
        <w:t>e</w:t>
      </w:r>
      <w:r w:rsidR="00E040DB" w:rsidRPr="00EB4AA9">
        <w:rPr>
          <w:color w:val="000000"/>
        </w:rPr>
        <w:t>.</w:t>
      </w:r>
      <w:r w:rsidR="003369D8" w:rsidRPr="00EB4AA9">
        <w:rPr>
          <w:color w:val="000000"/>
        </w:rPr>
        <w:t xml:space="preserve"> </w:t>
      </w:r>
      <w:r w:rsidR="00E040DB" w:rsidRPr="00EB4AA9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6A547C1D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EB4AA9">
        <w:rPr>
          <w:color w:val="000000"/>
        </w:rPr>
        <w:t>na</w:t>
      </w:r>
      <w:r w:rsidR="00D64E49" w:rsidRPr="00EB4AA9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63141C15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2AE68A0D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725958">
        <w:rPr>
          <w:b/>
          <w:u w:val="single"/>
        </w:rPr>
        <w:t>21.09.2022.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725958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587BB26C" w:rsidR="00BD2986" w:rsidRPr="00826B5B" w:rsidRDefault="00EB4AA9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725958">
        <w:t>21.09.2022.</w:t>
      </w:r>
      <w:r w:rsidR="00D36AC0" w:rsidRPr="00826B5B">
        <w:t xml:space="preserve"> godine u </w:t>
      </w:r>
      <w:r w:rsidR="00725958">
        <w:t>10,00</w:t>
      </w:r>
      <w:r w:rsidR="00D36AC0" w:rsidRPr="00826B5B">
        <w:t xml:space="preserve"> sati u prostorijama zgrade Upravnog odjela Općine Omišalj, Prikešte 13, Omišalj</w:t>
      </w:r>
      <w:r w:rsidR="00731ECE" w:rsidRPr="008C1EDF">
        <w:t xml:space="preserve">, </w:t>
      </w:r>
      <w:r w:rsidR="00731ECE" w:rsidRPr="00EB4AA9">
        <w:t>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1914E296" w14:textId="78A7AA38" w:rsidR="003C4B5D" w:rsidRPr="00EB4AA9" w:rsidRDefault="007351A8" w:rsidP="00EB4AA9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EB4AA9">
        <w:rPr>
          <w:sz w:val="24"/>
          <w:szCs w:val="24"/>
        </w:rPr>
        <w:t xml:space="preserve">Obrazac </w:t>
      </w:r>
      <w:r w:rsidR="003C4B5D" w:rsidRPr="00EB4AA9">
        <w:rPr>
          <w:sz w:val="24"/>
          <w:szCs w:val="24"/>
        </w:rPr>
        <w:t>Troškovnik</w:t>
      </w:r>
      <w:r w:rsidRPr="00EB4AA9">
        <w:rPr>
          <w:sz w:val="24"/>
          <w:szCs w:val="24"/>
        </w:rPr>
        <w:t>a</w:t>
      </w:r>
      <w:r w:rsidR="00EB4AA9" w:rsidRPr="00EB4AA9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28236343" w14:textId="6F7E2B02" w:rsidR="00865195" w:rsidRPr="00F7278C" w:rsidRDefault="00865195" w:rsidP="00865195">
      <w:pPr>
        <w:ind w:left="4956"/>
        <w:jc w:val="center"/>
        <w:rPr>
          <w:b/>
          <w:bCs/>
        </w:rPr>
      </w:pPr>
      <w:r>
        <w:rPr>
          <w:b/>
          <w:bCs/>
        </w:rPr>
        <w:t xml:space="preserve">Maja Mahulja, dipl. </w:t>
      </w:r>
      <w:r w:rsidRPr="00F7278C">
        <w:rPr>
          <w:b/>
          <w:bCs/>
        </w:rPr>
        <w:t>oec.</w:t>
      </w:r>
      <w:r w:rsidR="00C0657C">
        <w:rPr>
          <w:b/>
          <w:bCs/>
        </w:rPr>
        <w:t>, v.r.</w:t>
      </w:r>
    </w:p>
    <w:p w14:paraId="70A3B6E9" w14:textId="77777777" w:rsidR="00865195" w:rsidRPr="00F7278C" w:rsidRDefault="00865195" w:rsidP="00865195">
      <w:pPr>
        <w:ind w:left="4956"/>
        <w:jc w:val="center"/>
        <w:rPr>
          <w:b/>
          <w:bCs/>
        </w:rPr>
      </w:pPr>
    </w:p>
    <w:p w14:paraId="53AD03FA" w14:textId="77777777" w:rsidR="00865195" w:rsidRDefault="00865195" w:rsidP="00865195">
      <w:pPr>
        <w:ind w:left="4956"/>
        <w:jc w:val="center"/>
      </w:pPr>
    </w:p>
    <w:p w14:paraId="1282C781" w14:textId="1F44911A" w:rsidR="00E7343C" w:rsidRPr="00826B5B" w:rsidRDefault="00E7343C" w:rsidP="00865195">
      <w:pPr>
        <w:ind w:left="5664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8408" w14:textId="77777777" w:rsidR="003C617B" w:rsidRDefault="003C617B">
      <w:r>
        <w:separator/>
      </w:r>
    </w:p>
  </w:endnote>
  <w:endnote w:type="continuationSeparator" w:id="0">
    <w:p w14:paraId="1261A4BC" w14:textId="77777777" w:rsidR="003C617B" w:rsidRDefault="003C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2B12" w14:textId="77777777" w:rsidR="003C617B" w:rsidRDefault="003C617B">
      <w:r>
        <w:separator/>
      </w:r>
    </w:p>
  </w:footnote>
  <w:footnote w:type="continuationSeparator" w:id="0">
    <w:p w14:paraId="61BAD2AB" w14:textId="77777777" w:rsidR="003C617B" w:rsidRDefault="003C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408CA"/>
    <w:multiLevelType w:val="hybridMultilevel"/>
    <w:tmpl w:val="48F2D840"/>
    <w:lvl w:ilvl="0" w:tplc="F670CA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35877491">
    <w:abstractNumId w:val="33"/>
  </w:num>
  <w:num w:numId="2" w16cid:durableId="880938182">
    <w:abstractNumId w:val="15"/>
  </w:num>
  <w:num w:numId="3" w16cid:durableId="2035112073">
    <w:abstractNumId w:val="24"/>
  </w:num>
  <w:num w:numId="4" w16cid:durableId="1751928911">
    <w:abstractNumId w:val="11"/>
  </w:num>
  <w:num w:numId="5" w16cid:durableId="507794848">
    <w:abstractNumId w:val="32"/>
  </w:num>
  <w:num w:numId="6" w16cid:durableId="408158401">
    <w:abstractNumId w:val="7"/>
  </w:num>
  <w:num w:numId="7" w16cid:durableId="1128204917">
    <w:abstractNumId w:val="25"/>
  </w:num>
  <w:num w:numId="8" w16cid:durableId="1675454848">
    <w:abstractNumId w:val="8"/>
  </w:num>
  <w:num w:numId="9" w16cid:durableId="2121948387">
    <w:abstractNumId w:val="21"/>
  </w:num>
  <w:num w:numId="10" w16cid:durableId="1769693066">
    <w:abstractNumId w:val="18"/>
  </w:num>
  <w:num w:numId="11" w16cid:durableId="1094016901">
    <w:abstractNumId w:val="31"/>
  </w:num>
  <w:num w:numId="12" w16cid:durableId="361171771">
    <w:abstractNumId w:val="3"/>
  </w:num>
  <w:num w:numId="13" w16cid:durableId="158666698">
    <w:abstractNumId w:val="12"/>
  </w:num>
  <w:num w:numId="14" w16cid:durableId="2001420510">
    <w:abstractNumId w:val="28"/>
  </w:num>
  <w:num w:numId="15" w16cid:durableId="405616838">
    <w:abstractNumId w:val="23"/>
  </w:num>
  <w:num w:numId="16" w16cid:durableId="1485272394">
    <w:abstractNumId w:val="13"/>
  </w:num>
  <w:num w:numId="17" w16cid:durableId="465852916">
    <w:abstractNumId w:val="1"/>
  </w:num>
  <w:num w:numId="18" w16cid:durableId="530149964">
    <w:abstractNumId w:val="26"/>
  </w:num>
  <w:num w:numId="19" w16cid:durableId="877745854">
    <w:abstractNumId w:val="34"/>
  </w:num>
  <w:num w:numId="20" w16cid:durableId="731584815">
    <w:abstractNumId w:val="10"/>
  </w:num>
  <w:num w:numId="21" w16cid:durableId="1869833180">
    <w:abstractNumId w:val="9"/>
  </w:num>
  <w:num w:numId="22" w16cid:durableId="1044062846">
    <w:abstractNumId w:val="19"/>
  </w:num>
  <w:num w:numId="23" w16cid:durableId="1849907357">
    <w:abstractNumId w:val="20"/>
  </w:num>
  <w:num w:numId="24" w16cid:durableId="1895579991">
    <w:abstractNumId w:val="29"/>
  </w:num>
  <w:num w:numId="25" w16cid:durableId="1823884590">
    <w:abstractNumId w:val="0"/>
  </w:num>
  <w:num w:numId="26" w16cid:durableId="1788350325">
    <w:abstractNumId w:val="22"/>
  </w:num>
  <w:num w:numId="27" w16cid:durableId="1069112611">
    <w:abstractNumId w:val="2"/>
  </w:num>
  <w:num w:numId="28" w16cid:durableId="306976892">
    <w:abstractNumId w:val="6"/>
  </w:num>
  <w:num w:numId="29" w16cid:durableId="1683126799">
    <w:abstractNumId w:val="27"/>
  </w:num>
  <w:num w:numId="30" w16cid:durableId="1753971777">
    <w:abstractNumId w:val="4"/>
  </w:num>
  <w:num w:numId="31" w16cid:durableId="979188778">
    <w:abstractNumId w:val="30"/>
  </w:num>
  <w:num w:numId="32" w16cid:durableId="569577880">
    <w:abstractNumId w:val="17"/>
  </w:num>
  <w:num w:numId="33" w16cid:durableId="504248329">
    <w:abstractNumId w:val="16"/>
  </w:num>
  <w:num w:numId="34" w16cid:durableId="1297299352">
    <w:abstractNumId w:val="5"/>
  </w:num>
  <w:num w:numId="35" w16cid:durableId="197402355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35C6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27B7"/>
    <w:rsid w:val="000E34A5"/>
    <w:rsid w:val="000E3C90"/>
    <w:rsid w:val="000E56F3"/>
    <w:rsid w:val="000E64BE"/>
    <w:rsid w:val="0010196F"/>
    <w:rsid w:val="00101B93"/>
    <w:rsid w:val="001028BF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76C"/>
    <w:rsid w:val="00194EE2"/>
    <w:rsid w:val="001A4C1D"/>
    <w:rsid w:val="001A5094"/>
    <w:rsid w:val="001A54FD"/>
    <w:rsid w:val="001A7122"/>
    <w:rsid w:val="001B0DC0"/>
    <w:rsid w:val="001B1563"/>
    <w:rsid w:val="001B1870"/>
    <w:rsid w:val="001C09C3"/>
    <w:rsid w:val="001C0ACB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1F7015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03E1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2C0F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2A3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B7960"/>
    <w:rsid w:val="003C0B7E"/>
    <w:rsid w:val="003C141C"/>
    <w:rsid w:val="003C16E8"/>
    <w:rsid w:val="003C211A"/>
    <w:rsid w:val="003C4B5D"/>
    <w:rsid w:val="003C51EB"/>
    <w:rsid w:val="003C6041"/>
    <w:rsid w:val="003C617B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01EB"/>
    <w:rsid w:val="00411344"/>
    <w:rsid w:val="00412AD4"/>
    <w:rsid w:val="004150FF"/>
    <w:rsid w:val="004151DA"/>
    <w:rsid w:val="004205A8"/>
    <w:rsid w:val="00420A0F"/>
    <w:rsid w:val="004221BF"/>
    <w:rsid w:val="00422FA9"/>
    <w:rsid w:val="00423E90"/>
    <w:rsid w:val="004244B9"/>
    <w:rsid w:val="0042798E"/>
    <w:rsid w:val="004309A3"/>
    <w:rsid w:val="004337CB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64BB"/>
    <w:rsid w:val="00457985"/>
    <w:rsid w:val="00457AFF"/>
    <w:rsid w:val="00465539"/>
    <w:rsid w:val="00472E63"/>
    <w:rsid w:val="00472F90"/>
    <w:rsid w:val="004746C6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93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423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940FA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68B9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222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873"/>
    <w:rsid w:val="00713DEA"/>
    <w:rsid w:val="00714CAA"/>
    <w:rsid w:val="0071513F"/>
    <w:rsid w:val="00715D50"/>
    <w:rsid w:val="0071628E"/>
    <w:rsid w:val="00720C03"/>
    <w:rsid w:val="00721267"/>
    <w:rsid w:val="007223D7"/>
    <w:rsid w:val="00725958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38DE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22A7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1EDF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19DF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13BB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1F24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46A2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0657C"/>
    <w:rsid w:val="00C1002C"/>
    <w:rsid w:val="00C10A5D"/>
    <w:rsid w:val="00C11C8C"/>
    <w:rsid w:val="00C16FE7"/>
    <w:rsid w:val="00C17AB0"/>
    <w:rsid w:val="00C22445"/>
    <w:rsid w:val="00C23A7D"/>
    <w:rsid w:val="00C33007"/>
    <w:rsid w:val="00C34923"/>
    <w:rsid w:val="00C35CA2"/>
    <w:rsid w:val="00C361C7"/>
    <w:rsid w:val="00C37246"/>
    <w:rsid w:val="00C37EF3"/>
    <w:rsid w:val="00C4202C"/>
    <w:rsid w:val="00C453A4"/>
    <w:rsid w:val="00C45EE4"/>
    <w:rsid w:val="00C508C9"/>
    <w:rsid w:val="00C5099F"/>
    <w:rsid w:val="00C53D0C"/>
    <w:rsid w:val="00C547CD"/>
    <w:rsid w:val="00C60EE9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97386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4ED3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4AA9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227"/>
    <w:rsid w:val="00EE389E"/>
    <w:rsid w:val="00EE461E"/>
    <w:rsid w:val="00EF0476"/>
    <w:rsid w:val="00EF5720"/>
    <w:rsid w:val="00EF6827"/>
    <w:rsid w:val="00EF71F6"/>
    <w:rsid w:val="00EF7E0B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1C92"/>
    <w:rsid w:val="00F53F6B"/>
    <w:rsid w:val="00F546D2"/>
    <w:rsid w:val="00F5718E"/>
    <w:rsid w:val="00F70FFE"/>
    <w:rsid w:val="00F7278C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9556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9</cp:revision>
  <cp:lastPrinted>2022-09-13T11:05:00Z</cp:lastPrinted>
  <dcterms:created xsi:type="dcterms:W3CDTF">2022-09-06T13:08:00Z</dcterms:created>
  <dcterms:modified xsi:type="dcterms:W3CDTF">2022-09-13T11:05:00Z</dcterms:modified>
</cp:coreProperties>
</file>