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2ECDE5BD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B534B1">
        <w:t>024</w:t>
      </w:r>
      <w:r w:rsidR="00173D80" w:rsidRPr="00B534B1">
        <w:t>-01/</w:t>
      </w:r>
      <w:r w:rsidR="0010196F" w:rsidRPr="00B534B1">
        <w:t>22</w:t>
      </w:r>
      <w:r w:rsidR="00173D80" w:rsidRPr="00B534B1">
        <w:t>-01/</w:t>
      </w:r>
      <w:r w:rsidR="00DD3F89">
        <w:t>19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7EF7B0A4" w:rsidR="00E54028" w:rsidRDefault="00E54028" w:rsidP="00E54028">
      <w:r>
        <w:t xml:space="preserve">U Omišlju, </w:t>
      </w:r>
      <w:r w:rsidR="00543B72">
        <w:t>21.03.2022.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1D73EFF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DC250B">
              <w:rPr>
                <w:b/>
                <w:sz w:val="24"/>
                <w:szCs w:val="24"/>
              </w:rPr>
              <w:t xml:space="preserve">nabavu </w:t>
            </w:r>
            <w:r w:rsidR="00DC250B" w:rsidRPr="00DC250B">
              <w:rPr>
                <w:b/>
                <w:sz w:val="24"/>
                <w:szCs w:val="24"/>
              </w:rPr>
              <w:t>montažnog javnog sanitarnog čvora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585AAAC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BE296D">
        <w:rPr>
          <w:sz w:val="24"/>
          <w:szCs w:val="24"/>
        </w:rPr>
        <w:t>9/22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36B504AC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BE296D">
        <w:rPr>
          <w:sz w:val="24"/>
          <w:szCs w:val="24"/>
        </w:rPr>
        <w:t>120.000,00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6229764A" w14:textId="16829AE7" w:rsidR="00F2641D" w:rsidRPr="00B71D7B" w:rsidRDefault="00C23850" w:rsidP="00C11813">
      <w:pPr>
        <w:jc w:val="both"/>
        <w:rPr>
          <w:b/>
        </w:rPr>
      </w:pPr>
      <w:r w:rsidRPr="00C11813">
        <w:t xml:space="preserve">Predmet nabave je </w:t>
      </w:r>
      <w:r w:rsidR="00C11813" w:rsidRPr="003A16C9">
        <w:rPr>
          <w:bCs/>
        </w:rPr>
        <w:t>montažn</w:t>
      </w:r>
      <w:r w:rsidR="00C11813">
        <w:rPr>
          <w:bCs/>
        </w:rPr>
        <w:t>i</w:t>
      </w:r>
      <w:r w:rsidR="00C11813" w:rsidRPr="003A16C9">
        <w:rPr>
          <w:bCs/>
        </w:rPr>
        <w:t xml:space="preserve"> javn</w:t>
      </w:r>
      <w:r w:rsidR="00C11813">
        <w:rPr>
          <w:bCs/>
        </w:rPr>
        <w:t>i</w:t>
      </w:r>
      <w:r w:rsidR="00C11813" w:rsidRPr="003A16C9">
        <w:rPr>
          <w:bCs/>
        </w:rPr>
        <w:t xml:space="preserve"> sanitarn</w:t>
      </w:r>
      <w:r w:rsidR="00C11813">
        <w:rPr>
          <w:bCs/>
        </w:rPr>
        <w:t>i</w:t>
      </w:r>
      <w:r w:rsidR="00C11813" w:rsidRPr="003A16C9">
        <w:rPr>
          <w:bCs/>
        </w:rPr>
        <w:t xml:space="preserve"> čvor</w:t>
      </w:r>
      <w:r w:rsidR="00C11813">
        <w:rPr>
          <w:bCs/>
        </w:rPr>
        <w:t xml:space="preserve"> (M/Ž/I) koji će se postaviti na području plaže Pesja u Omišlju.</w:t>
      </w:r>
      <w:r w:rsidR="00B71D7B">
        <w:rPr>
          <w:bCs/>
        </w:rPr>
        <w:t xml:space="preserve"> </w:t>
      </w:r>
      <w:r w:rsidR="00B71D7B" w:rsidRPr="00B71D7B">
        <w:rPr>
          <w:b/>
        </w:rPr>
        <w:t xml:space="preserve">Predmet nabave mora biti sukladan Tehničkoj specifikaciji koja se </w:t>
      </w:r>
      <w:r w:rsidR="00C11813" w:rsidRPr="00B71D7B">
        <w:rPr>
          <w:b/>
        </w:rPr>
        <w:t>dostavlja</w:t>
      </w:r>
      <w:r w:rsidR="00B71D7B" w:rsidRPr="00B71D7B">
        <w:rPr>
          <w:b/>
        </w:rPr>
        <w:t xml:space="preserve"> </w:t>
      </w:r>
      <w:r w:rsidR="00C11813" w:rsidRPr="00B71D7B">
        <w:rPr>
          <w:b/>
        </w:rPr>
        <w:t xml:space="preserve">ponuditeljima kao </w:t>
      </w:r>
      <w:r w:rsidR="005C6D66">
        <w:rPr>
          <w:b/>
        </w:rPr>
        <w:t>P</w:t>
      </w:r>
      <w:r w:rsidR="00C11813" w:rsidRPr="00B71D7B">
        <w:rPr>
          <w:b/>
        </w:rPr>
        <w:t xml:space="preserve">rilog </w:t>
      </w:r>
      <w:r w:rsidR="005C6D66">
        <w:rPr>
          <w:b/>
        </w:rPr>
        <w:t xml:space="preserve">3. </w:t>
      </w:r>
      <w:r w:rsidR="00C11813" w:rsidRPr="00B71D7B">
        <w:rPr>
          <w:b/>
        </w:rPr>
        <w:t xml:space="preserve">ovom Pozivu te </w:t>
      </w:r>
      <w:r w:rsidR="00B71D7B" w:rsidRPr="00B71D7B">
        <w:rPr>
          <w:b/>
        </w:rPr>
        <w:t>čini</w:t>
      </w:r>
      <w:r w:rsidR="00C11813" w:rsidRPr="00B71D7B">
        <w:rPr>
          <w:b/>
        </w:rPr>
        <w:t xml:space="preserve"> njegov sastavni dio.</w:t>
      </w:r>
    </w:p>
    <w:p w14:paraId="19E50349" w14:textId="77777777" w:rsidR="00C23850" w:rsidRDefault="00C23850" w:rsidP="006D2A27"/>
    <w:p w14:paraId="40A0D5B8" w14:textId="375A142C" w:rsidR="006D5A03" w:rsidRDefault="006D5A03" w:rsidP="006D5A03">
      <w:pPr>
        <w:jc w:val="both"/>
      </w:pPr>
      <w:r w:rsidRPr="006D5A03">
        <w:t xml:space="preserve">Ponuditelj </w:t>
      </w:r>
      <w:r>
        <w:t xml:space="preserve">je dužan </w:t>
      </w:r>
      <w:r w:rsidRPr="006D5A03">
        <w:t xml:space="preserve">u sklopu predmeta nabave </w:t>
      </w:r>
      <w:r>
        <w:t xml:space="preserve">izraditi, dopremiti i </w:t>
      </w:r>
      <w:r w:rsidR="00B534B1">
        <w:t>postaviti</w:t>
      </w:r>
      <w:r w:rsidR="00B534B1" w:rsidRPr="00B534B1">
        <w:t xml:space="preserve"> </w:t>
      </w:r>
      <w:r>
        <w:t>sanitarni kontejner</w:t>
      </w:r>
      <w:r w:rsidRPr="006D5A03">
        <w:t xml:space="preserve"> na podlogu prethodno pripremljenu od strane Naručitelja</w:t>
      </w:r>
      <w:r>
        <w:t>, koristeći svoje</w:t>
      </w:r>
      <w:r w:rsidRPr="006D5A03">
        <w:t xml:space="preserve"> materijale, rad i transportna sredstva.</w:t>
      </w:r>
    </w:p>
    <w:p w14:paraId="5D2A7DFB" w14:textId="77777777" w:rsidR="006D5A03" w:rsidRDefault="006D5A03" w:rsidP="006D5A03">
      <w:pPr>
        <w:jc w:val="both"/>
      </w:pPr>
    </w:p>
    <w:p w14:paraId="0D57CE91" w14:textId="11A96AFC" w:rsidR="008843A3" w:rsidRDefault="006D5A03" w:rsidP="006D5A03">
      <w:pPr>
        <w:jc w:val="both"/>
      </w:pPr>
      <w:r w:rsidRPr="006D5A03">
        <w:t xml:space="preserve">Naručitelj će o svome trošku izvesti </w:t>
      </w:r>
      <w:r w:rsidR="00F110F1">
        <w:t>priključke</w:t>
      </w:r>
      <w:r w:rsidRPr="006D5A03">
        <w:t xml:space="preserve"> </w:t>
      </w:r>
      <w:r>
        <w:t xml:space="preserve">sanitarnog </w:t>
      </w:r>
      <w:r w:rsidRPr="006D5A03">
        <w:t>kontejnera na vodu, struju, kanalizaciju i druge komunalije, slijedom čega naveden</w:t>
      </w:r>
      <w:r>
        <w:t xml:space="preserve">o </w:t>
      </w:r>
      <w:r w:rsidRPr="006D5A03">
        <w:t xml:space="preserve">nije </w:t>
      </w:r>
      <w:r w:rsidR="002571B2">
        <w:t>predmet</w:t>
      </w:r>
      <w:r w:rsidRPr="006D5A03">
        <w:t xml:space="preserve"> </w:t>
      </w:r>
      <w:r w:rsidR="002571B2">
        <w:t>ovog Poziva.</w:t>
      </w:r>
    </w:p>
    <w:p w14:paraId="443A6BE1" w14:textId="77777777" w:rsidR="00F110F1" w:rsidRDefault="00F110F1" w:rsidP="006D5A03">
      <w:pPr>
        <w:jc w:val="both"/>
      </w:pPr>
    </w:p>
    <w:p w14:paraId="4CB17B9F" w14:textId="640FD580" w:rsidR="006B692D" w:rsidRDefault="006B692D" w:rsidP="006B692D">
      <w:pPr>
        <w:jc w:val="both"/>
        <w:rPr>
          <w:color w:val="000000"/>
        </w:rPr>
      </w:pPr>
      <w:r>
        <w:rPr>
          <w:color w:val="000000"/>
        </w:rPr>
        <w:t>Ponuditelj je dužan u</w:t>
      </w:r>
      <w:r w:rsidRPr="00C54D76">
        <w:rPr>
          <w:color w:val="000000"/>
        </w:rPr>
        <w:t xml:space="preserve"> cijen</w:t>
      </w:r>
      <w:r>
        <w:rPr>
          <w:color w:val="000000"/>
        </w:rPr>
        <w:t>u ponude</w:t>
      </w:r>
      <w:r w:rsidRPr="00C54D76">
        <w:rPr>
          <w:color w:val="000000"/>
        </w:rPr>
        <w:t xml:space="preserve">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a, rada, transportnih obveza, zaštite, osiguranja i druge izdatke koji mogu nastati u sklopu predmeta nabave.</w:t>
      </w:r>
      <w:r w:rsidR="00C11813">
        <w:rPr>
          <w:color w:val="000000"/>
        </w:rPr>
        <w:t xml:space="preserve"> Bilo kakve</w:t>
      </w:r>
      <w:r>
        <w:rPr>
          <w:color w:val="000000"/>
        </w:rPr>
        <w:t xml:space="preserve"> naknade iznad </w:t>
      </w:r>
      <w:r w:rsidR="00C11813">
        <w:rPr>
          <w:color w:val="000000"/>
        </w:rPr>
        <w:t>ponuđene</w:t>
      </w:r>
      <w:r>
        <w:rPr>
          <w:color w:val="000000"/>
        </w:rPr>
        <w:t xml:space="preserve"> cijen</w:t>
      </w:r>
      <w:r w:rsidR="00C11813">
        <w:rPr>
          <w:color w:val="000000"/>
        </w:rPr>
        <w:t>e</w:t>
      </w:r>
      <w:r>
        <w:rPr>
          <w:color w:val="000000"/>
        </w:rPr>
        <w:t xml:space="preserve"> neće se priznavati.</w:t>
      </w:r>
    </w:p>
    <w:p w14:paraId="28F80194" w14:textId="77777777" w:rsidR="006B692D" w:rsidRDefault="006B692D" w:rsidP="00F110F1">
      <w:pPr>
        <w:jc w:val="both"/>
      </w:pPr>
    </w:p>
    <w:p w14:paraId="66D33BDC" w14:textId="6F9B0411" w:rsidR="00F110F1" w:rsidRDefault="00F110F1" w:rsidP="00F110F1">
      <w:pPr>
        <w:jc w:val="both"/>
      </w:pPr>
      <w:r w:rsidRPr="00F110F1">
        <w:t>Kvaliteta upotr</w:t>
      </w:r>
      <w:r>
        <w:t>i</w:t>
      </w:r>
      <w:r w:rsidRPr="00F110F1">
        <w:t xml:space="preserve">jebljenog materijala i </w:t>
      </w:r>
      <w:r>
        <w:t>postavljene</w:t>
      </w:r>
      <w:r w:rsidRPr="00F110F1">
        <w:t xml:space="preserve"> </w:t>
      </w:r>
      <w:r w:rsidR="005200B9">
        <w:t xml:space="preserve">opreme </w:t>
      </w:r>
      <w:r w:rsidRPr="00F110F1">
        <w:t xml:space="preserve">u </w:t>
      </w:r>
      <w:r>
        <w:t>sklopu</w:t>
      </w:r>
      <w:r w:rsidRPr="00F110F1">
        <w:t xml:space="preserve"> predmeta nabave mora odgovarati uvjetima definiranima Tehničk</w:t>
      </w:r>
      <w:r w:rsidR="005200B9">
        <w:t>om</w:t>
      </w:r>
      <w:r w:rsidRPr="00F110F1">
        <w:t xml:space="preserve"> </w:t>
      </w:r>
      <w:r w:rsidR="005200B9">
        <w:t>specifikacijom</w:t>
      </w:r>
      <w:r w:rsidRPr="00F110F1">
        <w:t>, važećim propisima i standardima.</w:t>
      </w:r>
      <w:r>
        <w:t xml:space="preserve"> </w:t>
      </w:r>
      <w:r w:rsidRPr="00F110F1">
        <w:t xml:space="preserve">Ponuditelj je dužan jamčiti za kvalitetu upotrijebljenih materijala i postavljene opreme u </w:t>
      </w:r>
      <w:r w:rsidRPr="006B692D">
        <w:rPr>
          <w:b/>
          <w:bCs/>
        </w:rPr>
        <w:t>jamstvenome roku od 24 mjeseci</w:t>
      </w:r>
      <w:r w:rsidRPr="00F110F1">
        <w:t xml:space="preserve"> od datuma uredno izvršene primopredaje predmeta nabave Naručitelju.</w:t>
      </w:r>
    </w:p>
    <w:p w14:paraId="7CC438EC" w14:textId="77777777" w:rsidR="00F110F1" w:rsidRDefault="00F110F1" w:rsidP="00F110F1">
      <w:pPr>
        <w:jc w:val="both"/>
      </w:pPr>
    </w:p>
    <w:p w14:paraId="194D2E3D" w14:textId="64F1B2A3" w:rsidR="008843A3" w:rsidRPr="006B692D" w:rsidRDefault="005200B9" w:rsidP="005200B9">
      <w:pPr>
        <w:jc w:val="both"/>
        <w:rPr>
          <w:b/>
          <w:bCs/>
        </w:rPr>
      </w:pPr>
      <w:r w:rsidRPr="006B692D">
        <w:rPr>
          <w:b/>
          <w:bCs/>
        </w:rPr>
        <w:t xml:space="preserve">Ponuditelj je dužan dostaviti i ugraditi sanitarni kontejner na gore navedenu lokaciju do 30.06.2022. godine. U slučaju prekoračenja navedenog roka Ponuditelju će se obračunati </w:t>
      </w:r>
      <w:r w:rsidR="006B692D" w:rsidRPr="006B692D">
        <w:rPr>
          <w:b/>
          <w:bCs/>
        </w:rPr>
        <w:t xml:space="preserve">i naplatiti </w:t>
      </w:r>
      <w:r w:rsidRPr="006B692D">
        <w:rPr>
          <w:b/>
          <w:bCs/>
        </w:rPr>
        <w:t>ugovorom definirana kazna.</w:t>
      </w:r>
      <w:r w:rsidR="008843A3" w:rsidRPr="006B692D">
        <w:rPr>
          <w:b/>
          <w:bCs/>
        </w:rPr>
        <w:t xml:space="preserve"> </w:t>
      </w:r>
    </w:p>
    <w:p w14:paraId="142EBEB3" w14:textId="60568C6D" w:rsidR="00BA6AE1" w:rsidRPr="00826B5B" w:rsidRDefault="00BA6AE1" w:rsidP="006D2A27"/>
    <w:p w14:paraId="735622A9" w14:textId="46E7848C" w:rsidR="00BA6AE1" w:rsidRPr="00826B5B" w:rsidRDefault="00BA6AE1" w:rsidP="006D2A27">
      <w:r w:rsidRPr="00826B5B">
        <w:t xml:space="preserve">CPV oznaka: </w:t>
      </w:r>
      <w:r w:rsidR="00BE296D" w:rsidRPr="00BE296D">
        <w:t xml:space="preserve">45232460-4 </w:t>
      </w:r>
      <w:r w:rsidRPr="00826B5B">
        <w:t xml:space="preserve">- </w:t>
      </w:r>
      <w:r w:rsidR="00BE296D" w:rsidRPr="00BE296D">
        <w:t>Sanitarni objekti</w:t>
      </w:r>
      <w:r w:rsidR="00BE296D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6DD2B483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F110F1">
        <w:rPr>
          <w:sz w:val="24"/>
          <w:szCs w:val="24"/>
        </w:rPr>
        <w:t>naselje Omišalj</w:t>
      </w:r>
      <w:r w:rsidR="007642F7">
        <w:rPr>
          <w:sz w:val="24"/>
          <w:szCs w:val="24"/>
        </w:rPr>
        <w:t>, plaža Pesja</w:t>
      </w:r>
      <w:r w:rsidR="00F110F1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373C61F8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BE296D">
        <w:rPr>
          <w:color w:val="000000"/>
        </w:rPr>
        <w:t xml:space="preserve">do </w:t>
      </w:r>
      <w:r w:rsidR="00543B72">
        <w:rPr>
          <w:color w:val="000000"/>
        </w:rPr>
        <w:t>01.07</w:t>
      </w:r>
      <w:r w:rsidR="00BE296D">
        <w:rPr>
          <w:color w:val="000000"/>
        </w:rPr>
        <w:t>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549CC475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BE296D">
        <w:rPr>
          <w:bCs/>
          <w:color w:val="000000"/>
        </w:rPr>
        <w:t>isporučenu robu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2B7D4DF6" w:rsidR="00E85D4D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01249922" w14:textId="77777777" w:rsidR="005C6D66" w:rsidRPr="00826B5B" w:rsidRDefault="005C6D66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1A97A7F8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BE296D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B534B1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B534B1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B534B1" w:rsidRDefault="0011225E" w:rsidP="0011225E">
      <w:pPr>
        <w:tabs>
          <w:tab w:val="left" w:pos="0"/>
        </w:tabs>
        <w:jc w:val="both"/>
      </w:pPr>
      <w:r w:rsidRPr="00B534B1">
        <w:t xml:space="preserve">Troškovnik mora biti u cijelosti popunjen, potpisan </w:t>
      </w:r>
      <w:r w:rsidR="001E3030" w:rsidRPr="00B534B1">
        <w:t>od strane ovlaštene osobe P</w:t>
      </w:r>
      <w:r w:rsidRPr="00B534B1">
        <w:t xml:space="preserve">onuditelja i ovjeren pečatom. </w:t>
      </w:r>
      <w:r w:rsidR="002D78FD" w:rsidRPr="00B534B1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B534B1">
        <w:t xml:space="preserve">Obrazac Troškovnika dostavlja se </w:t>
      </w:r>
      <w:r w:rsidR="001E3030" w:rsidRPr="00B534B1">
        <w:t>P</w:t>
      </w:r>
      <w:r w:rsidRPr="00B534B1">
        <w:t>onuditelju kao prilog uz ovaj Poziv.</w:t>
      </w:r>
    </w:p>
    <w:p w14:paraId="32E74B9B" w14:textId="51D708DF" w:rsidR="002D78FD" w:rsidRPr="00B534B1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B534B1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B534B1">
        <w:rPr>
          <w:b/>
          <w:bCs/>
          <w:sz w:val="24"/>
          <w:szCs w:val="24"/>
        </w:rPr>
        <w:t>objave</w:t>
      </w:r>
      <w:r w:rsidRPr="00B534B1">
        <w:rPr>
          <w:b/>
          <w:bCs/>
          <w:sz w:val="24"/>
          <w:szCs w:val="24"/>
        </w:rPr>
        <w:t xml:space="preserve"> ovog Poziva</w:t>
      </w:r>
    </w:p>
    <w:p w14:paraId="78DC34EC" w14:textId="61B77853" w:rsidR="002D78FD" w:rsidRPr="00B534B1" w:rsidRDefault="002D78FD" w:rsidP="0011225E">
      <w:pPr>
        <w:tabs>
          <w:tab w:val="left" w:pos="0"/>
        </w:tabs>
        <w:jc w:val="both"/>
      </w:pPr>
      <w:r w:rsidRPr="00B534B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B534B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568FE2AA" w14:textId="47B64DB6" w:rsidR="00BE296D" w:rsidRPr="00B534B1" w:rsidRDefault="00BE296D" w:rsidP="00BE296D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B534B1">
        <w:rPr>
          <w:b/>
          <w:sz w:val="24"/>
          <w:szCs w:val="24"/>
        </w:rPr>
        <w:t>Tehnički opis ponuđene</w:t>
      </w:r>
      <w:r w:rsidR="00617D84" w:rsidRPr="00B534B1">
        <w:rPr>
          <w:b/>
          <w:sz w:val="24"/>
          <w:szCs w:val="24"/>
        </w:rPr>
        <w:t xml:space="preserve"> robe</w:t>
      </w:r>
    </w:p>
    <w:p w14:paraId="2129B688" w14:textId="08C23BC2" w:rsidR="001D262A" w:rsidRDefault="00BE296D" w:rsidP="006D2A27">
      <w:pPr>
        <w:tabs>
          <w:tab w:val="left" w:pos="0"/>
        </w:tabs>
        <w:jc w:val="both"/>
      </w:pPr>
      <w:r w:rsidRPr="00BE296D">
        <w:t xml:space="preserve">Ponuditelj je obvezan ponudi priložiti tehničke opise </w:t>
      </w:r>
      <w:r w:rsidR="005C6D66">
        <w:t>za predmet nabave</w:t>
      </w:r>
      <w:r w:rsidRPr="00BE296D">
        <w:t xml:space="preserve"> (katalog, brošura ili drugi dokument isključivo na hrvatskom jeziku) </w:t>
      </w:r>
      <w:r w:rsidRPr="00607808">
        <w:rPr>
          <w:b/>
          <w:bCs/>
        </w:rPr>
        <w:t xml:space="preserve">iz kojih je vidljivo da ponuđena roba/oprema odgovara uvjetima </w:t>
      </w:r>
      <w:r w:rsidR="005C6D66" w:rsidRPr="00607808">
        <w:rPr>
          <w:b/>
          <w:bCs/>
        </w:rPr>
        <w:t>definiranima</w:t>
      </w:r>
      <w:r w:rsidRPr="00607808">
        <w:rPr>
          <w:b/>
          <w:bCs/>
        </w:rPr>
        <w:t xml:space="preserve"> </w:t>
      </w:r>
      <w:r w:rsidR="005C6D66" w:rsidRPr="00607808">
        <w:rPr>
          <w:b/>
          <w:bCs/>
        </w:rPr>
        <w:t>Tehničkom specifikacijom.</w:t>
      </w:r>
      <w:r>
        <w:t xml:space="preserve"> U tehničkim opisima </w:t>
      </w:r>
      <w:r w:rsidR="005C6D66">
        <w:t>potrebno je</w:t>
      </w:r>
      <w:r>
        <w:t xml:space="preserve"> jasno </w:t>
      </w:r>
      <w:r w:rsidR="005C6D66">
        <w:t>navesti i opisati</w:t>
      </w:r>
      <w:r>
        <w:t xml:space="preserve"> sva tehnička obilježja </w:t>
      </w:r>
      <w:r w:rsidR="00607808">
        <w:t>definirana</w:t>
      </w:r>
      <w:r>
        <w:t xml:space="preserve"> </w:t>
      </w:r>
      <w:r w:rsidR="00607808">
        <w:t>Tehničkom specifikacijom. Osim navedenog potrebno je priložiti fotografije ponuđene robe i opreme</w:t>
      </w:r>
      <w:r>
        <w:t>.</w:t>
      </w:r>
      <w:r w:rsidR="00800390">
        <w:t xml:space="preserve"> </w:t>
      </w:r>
      <w:r w:rsidR="00800390" w:rsidRPr="00800390">
        <w:rPr>
          <w:b/>
          <w:bCs/>
        </w:rPr>
        <w:t>U slučaju da Naručitelj ne može utvrditi usklađenost ponude sa Tehničkom specifikacijom, ista će biti odbačena</w:t>
      </w:r>
      <w:r w:rsidR="00800390">
        <w:rPr>
          <w:b/>
          <w:bCs/>
        </w:rPr>
        <w:t xml:space="preserve"> kao neprihvatljiva</w:t>
      </w:r>
      <w:r w:rsidR="00800390" w:rsidRPr="00800390">
        <w:rPr>
          <w:b/>
          <w:bCs/>
        </w:rPr>
        <w:t>.</w:t>
      </w:r>
    </w:p>
    <w:p w14:paraId="206BC6D4" w14:textId="77777777" w:rsidR="00BE296D" w:rsidRPr="00826B5B" w:rsidRDefault="00BE296D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617D84">
        <w:rPr>
          <w:color w:val="000000"/>
        </w:rPr>
        <w:t xml:space="preserve">Ponudu je potrebno dostaviti u zatvorenoj omotnici s nazivom </w:t>
      </w:r>
      <w:r w:rsidR="00F17FEC" w:rsidRPr="00617D84">
        <w:rPr>
          <w:color w:val="000000"/>
        </w:rPr>
        <w:t>p</w:t>
      </w:r>
      <w:r w:rsidRPr="00617D84">
        <w:rPr>
          <w:color w:val="000000"/>
        </w:rPr>
        <w:t xml:space="preserve">redmeta nabave i </w:t>
      </w:r>
      <w:r w:rsidR="00F17FEC" w:rsidRPr="00617D84">
        <w:rPr>
          <w:color w:val="000000"/>
        </w:rPr>
        <w:t>napomenom „</w:t>
      </w:r>
      <w:r w:rsidR="002D78FD" w:rsidRPr="00617D84">
        <w:rPr>
          <w:color w:val="000000"/>
        </w:rPr>
        <w:t>NE</w:t>
      </w:r>
      <w:r w:rsidR="00F17FEC" w:rsidRPr="00617D84">
        <w:rPr>
          <w:color w:val="000000"/>
        </w:rPr>
        <w:t xml:space="preserve"> </w:t>
      </w:r>
      <w:r w:rsidR="002D78FD" w:rsidRPr="00617D84">
        <w:rPr>
          <w:color w:val="000000"/>
        </w:rPr>
        <w:t>OTVARATI</w:t>
      </w:r>
      <w:r w:rsidR="00F17FEC" w:rsidRPr="00617D84">
        <w:rPr>
          <w:color w:val="000000"/>
        </w:rPr>
        <w:t xml:space="preserve">“, nazivom i </w:t>
      </w:r>
      <w:r w:rsidRPr="00617D84">
        <w:rPr>
          <w:color w:val="000000"/>
        </w:rPr>
        <w:t xml:space="preserve">adresom </w:t>
      </w:r>
      <w:r w:rsidR="003369D8" w:rsidRPr="00617D84">
        <w:rPr>
          <w:color w:val="000000"/>
        </w:rPr>
        <w:t>N</w:t>
      </w:r>
      <w:r w:rsidRPr="00617D84">
        <w:rPr>
          <w:color w:val="000000"/>
        </w:rPr>
        <w:t>aručitelja</w:t>
      </w:r>
      <w:r w:rsidR="00F17FEC" w:rsidRPr="00617D84">
        <w:rPr>
          <w:color w:val="000000"/>
        </w:rPr>
        <w:t xml:space="preserve">, </w:t>
      </w:r>
      <w:r w:rsidRPr="00617D84">
        <w:rPr>
          <w:color w:val="000000"/>
        </w:rPr>
        <w:t xml:space="preserve">nazivom i adresom </w:t>
      </w:r>
      <w:r w:rsidR="003369D8" w:rsidRPr="00617D84">
        <w:rPr>
          <w:color w:val="000000"/>
        </w:rPr>
        <w:t>P</w:t>
      </w:r>
      <w:r w:rsidR="00095511" w:rsidRPr="00617D84">
        <w:rPr>
          <w:color w:val="000000"/>
        </w:rPr>
        <w:t>o</w:t>
      </w:r>
      <w:r w:rsidRPr="00617D84">
        <w:rPr>
          <w:color w:val="000000"/>
        </w:rPr>
        <w:t>nuditelja</w:t>
      </w:r>
      <w:r w:rsidR="00F17FEC" w:rsidRPr="00617D84">
        <w:rPr>
          <w:color w:val="000000"/>
        </w:rPr>
        <w:t xml:space="preserve"> te</w:t>
      </w:r>
      <w:r w:rsidRPr="00617D84">
        <w:rPr>
          <w:color w:val="000000"/>
        </w:rPr>
        <w:t xml:space="preserve"> evidencijskim brojem nabav</w:t>
      </w:r>
      <w:r w:rsidR="00F17FEC" w:rsidRPr="00617D84">
        <w:rPr>
          <w:color w:val="000000"/>
        </w:rPr>
        <w:t>e</w:t>
      </w:r>
      <w:r w:rsidR="00E040DB" w:rsidRPr="00617D84">
        <w:rPr>
          <w:color w:val="000000"/>
        </w:rPr>
        <w:t>.</w:t>
      </w:r>
      <w:r w:rsidR="003369D8" w:rsidRPr="00617D84">
        <w:rPr>
          <w:color w:val="000000"/>
        </w:rPr>
        <w:t xml:space="preserve"> </w:t>
      </w:r>
      <w:r w:rsidR="00E040DB" w:rsidRPr="00617D84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542276B9" w14:textId="77777777" w:rsidR="00607808" w:rsidRPr="00826B5B" w:rsidRDefault="00607808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69CAD8A8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607808">
        <w:rPr>
          <w:color w:val="000000"/>
        </w:rPr>
        <w:t>na</w:t>
      </w:r>
      <w:r w:rsidR="00D64E49" w:rsidRPr="00607808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3710F8E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5651D38C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60BD8397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543B72">
        <w:rPr>
          <w:b/>
          <w:u w:val="single"/>
        </w:rPr>
        <w:t>29.03.2022.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543B72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727906AB" w:rsidR="00BD2986" w:rsidRPr="00826B5B" w:rsidRDefault="00F2641D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543B72">
        <w:t>29.03.2022.</w:t>
      </w:r>
      <w:r w:rsidR="00D36AC0" w:rsidRPr="00826B5B">
        <w:t xml:space="preserve"> godine u </w:t>
      </w:r>
      <w:r w:rsidR="00543B72">
        <w:t>09,00</w:t>
      </w:r>
      <w:r w:rsidR="00D36AC0" w:rsidRPr="00826B5B">
        <w:t xml:space="preserve"> sati u prostorijama zgrade Upravnog odjela Općine Omišalj, Prikešte 13, Omišalj</w:t>
      </w:r>
      <w:r w:rsidR="00731ECE" w:rsidRPr="00F2641D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463DE03A" w14:textId="3355C782" w:rsidR="003C4B5D" w:rsidRPr="00F2641D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2641D">
        <w:rPr>
          <w:sz w:val="24"/>
          <w:szCs w:val="24"/>
        </w:rPr>
        <w:t xml:space="preserve">Obrazac </w:t>
      </w:r>
      <w:r w:rsidR="003C4B5D" w:rsidRPr="00F2641D">
        <w:rPr>
          <w:sz w:val="24"/>
          <w:szCs w:val="24"/>
        </w:rPr>
        <w:t>Troškovnik</w:t>
      </w:r>
      <w:r w:rsidRPr="00F2641D">
        <w:rPr>
          <w:sz w:val="24"/>
          <w:szCs w:val="24"/>
        </w:rPr>
        <w:t>a</w:t>
      </w:r>
      <w:r w:rsidR="004B6247" w:rsidRPr="00F2641D">
        <w:rPr>
          <w:sz w:val="24"/>
          <w:szCs w:val="24"/>
        </w:rPr>
        <w:t>,</w:t>
      </w:r>
    </w:p>
    <w:p w14:paraId="1914E296" w14:textId="4EDC7060" w:rsidR="003C4B5D" w:rsidRPr="005C6D66" w:rsidRDefault="005C6D66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Tehnička specifikacija</w:t>
      </w:r>
      <w:r w:rsidR="004B6247" w:rsidRPr="005C6D66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727603AD" w:rsidR="00865195" w:rsidRDefault="00865195" w:rsidP="00865195">
      <w:pPr>
        <w:ind w:left="4956"/>
        <w:jc w:val="center"/>
      </w:pPr>
      <w:r>
        <w:rPr>
          <w:b/>
          <w:bCs/>
        </w:rPr>
        <w:t xml:space="preserve">Maja Mahulja, </w:t>
      </w:r>
      <w:r w:rsidRPr="00543B72">
        <w:rPr>
          <w:b/>
          <w:bCs/>
        </w:rPr>
        <w:t xml:space="preserve">dipl. </w:t>
      </w:r>
      <w:proofErr w:type="spellStart"/>
      <w:r w:rsidRPr="00543B72">
        <w:rPr>
          <w:b/>
          <w:bCs/>
        </w:rPr>
        <w:t>oec</w:t>
      </w:r>
      <w:proofErr w:type="spellEnd"/>
      <w:r w:rsidRPr="00543B72">
        <w:rPr>
          <w:b/>
          <w:bCs/>
        </w:rPr>
        <w:t>.</w:t>
      </w:r>
      <w:r w:rsidR="00543B72" w:rsidRPr="00543B72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AA14" w14:textId="77777777" w:rsidR="00343A59" w:rsidRDefault="00343A59">
      <w:r>
        <w:separator/>
      </w:r>
    </w:p>
  </w:endnote>
  <w:endnote w:type="continuationSeparator" w:id="0">
    <w:p w14:paraId="06B83B2D" w14:textId="77777777" w:rsidR="00343A59" w:rsidRDefault="0034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4150" w14:textId="77777777" w:rsidR="00343A59" w:rsidRDefault="00343A59">
      <w:r>
        <w:separator/>
      </w:r>
    </w:p>
  </w:footnote>
  <w:footnote w:type="continuationSeparator" w:id="0">
    <w:p w14:paraId="3FB7FD84" w14:textId="77777777" w:rsidR="00343A59" w:rsidRDefault="0034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1B2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22DD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3A59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00B9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3B72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6D66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07808"/>
    <w:rsid w:val="006124DA"/>
    <w:rsid w:val="00614A3E"/>
    <w:rsid w:val="006179A4"/>
    <w:rsid w:val="00617D8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2D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A03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2F7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00390"/>
    <w:rsid w:val="00802CA9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43A3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D1D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34B1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1D7B"/>
    <w:rsid w:val="00B730E8"/>
    <w:rsid w:val="00B7735B"/>
    <w:rsid w:val="00B814B4"/>
    <w:rsid w:val="00B81B7E"/>
    <w:rsid w:val="00B8208D"/>
    <w:rsid w:val="00B82BFA"/>
    <w:rsid w:val="00B83B09"/>
    <w:rsid w:val="00B844B7"/>
    <w:rsid w:val="00B85069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96D"/>
    <w:rsid w:val="00BE2C54"/>
    <w:rsid w:val="00BE3551"/>
    <w:rsid w:val="00BF055E"/>
    <w:rsid w:val="00BF2409"/>
    <w:rsid w:val="00BF5517"/>
    <w:rsid w:val="00C03E9F"/>
    <w:rsid w:val="00C1002C"/>
    <w:rsid w:val="00C10A5D"/>
    <w:rsid w:val="00C11813"/>
    <w:rsid w:val="00C16FE7"/>
    <w:rsid w:val="00C22445"/>
    <w:rsid w:val="00C23850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250B"/>
    <w:rsid w:val="00DC4E7C"/>
    <w:rsid w:val="00DC66DC"/>
    <w:rsid w:val="00DC7AFC"/>
    <w:rsid w:val="00DD0C34"/>
    <w:rsid w:val="00DD33DF"/>
    <w:rsid w:val="00DD3F89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3D7"/>
    <w:rsid w:val="00E76EE6"/>
    <w:rsid w:val="00E76F8E"/>
    <w:rsid w:val="00E81829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0F1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41D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8722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7</cp:revision>
  <cp:lastPrinted>2022-03-21T08:06:00Z</cp:lastPrinted>
  <dcterms:created xsi:type="dcterms:W3CDTF">2022-03-18T13:18:00Z</dcterms:created>
  <dcterms:modified xsi:type="dcterms:W3CDTF">2022-03-29T12:06:00Z</dcterms:modified>
</cp:coreProperties>
</file>