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06C1CF6E"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1F1C0A">
        <w:t>56</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1F1C0A">
        <w:t>3</w:t>
      </w:r>
    </w:p>
    <w:p w14:paraId="194752CD" w14:textId="38D262DA" w:rsidR="00F70FFE" w:rsidRPr="00826B5B" w:rsidRDefault="00FE0C1B" w:rsidP="00CF5ADC">
      <w:r>
        <w:t>Omišalj</w:t>
      </w:r>
      <w:r w:rsidR="00E54028">
        <w:t xml:space="preserve">, </w:t>
      </w:r>
      <w:r w:rsidR="001F1C0A">
        <w:t>12. lipnja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1F91C273" w:rsidR="00152942" w:rsidRDefault="00152942" w:rsidP="00CF5ADC">
            <w:pPr>
              <w:pStyle w:val="Header"/>
              <w:jc w:val="center"/>
              <w:rPr>
                <w:b/>
                <w:sz w:val="24"/>
                <w:szCs w:val="24"/>
              </w:rPr>
            </w:pPr>
            <w:r>
              <w:rPr>
                <w:b/>
                <w:sz w:val="24"/>
                <w:szCs w:val="24"/>
              </w:rPr>
              <w:t xml:space="preserve">Predmet nabave: </w:t>
            </w:r>
            <w:r w:rsidR="001F1C0A" w:rsidRPr="001F1C0A">
              <w:rPr>
                <w:bCs/>
                <w:sz w:val="24"/>
                <w:szCs w:val="24"/>
              </w:rPr>
              <w:t>Izrada glavnog projekta rekonstrukcije dječjeg vrtića u Omišlju</w:t>
            </w:r>
          </w:p>
          <w:p w14:paraId="2EB3DCCF" w14:textId="7DACC778" w:rsidR="009020B0" w:rsidRDefault="00152942" w:rsidP="00CF5ADC">
            <w:pPr>
              <w:pStyle w:val="Header"/>
              <w:jc w:val="center"/>
              <w:rPr>
                <w:b/>
                <w:sz w:val="24"/>
                <w:szCs w:val="24"/>
              </w:rPr>
            </w:pPr>
            <w:r>
              <w:rPr>
                <w:b/>
                <w:sz w:val="24"/>
                <w:szCs w:val="24"/>
              </w:rPr>
              <w:t xml:space="preserve">Evidencijski broj nabave: </w:t>
            </w:r>
            <w:r w:rsidR="001F1C0A">
              <w:rPr>
                <w:bCs/>
                <w:sz w:val="24"/>
                <w:szCs w:val="24"/>
              </w:rPr>
              <w:t>45/23</w:t>
            </w:r>
          </w:p>
          <w:p w14:paraId="13774AE0" w14:textId="49B03FF8" w:rsidR="00152942" w:rsidRPr="00826B5B" w:rsidRDefault="00152942" w:rsidP="00CF5ADC">
            <w:pPr>
              <w:pStyle w:val="Header"/>
              <w:jc w:val="center"/>
              <w:rPr>
                <w:b/>
                <w:sz w:val="24"/>
                <w:szCs w:val="24"/>
              </w:rPr>
            </w:pPr>
            <w:r>
              <w:rPr>
                <w:b/>
                <w:sz w:val="24"/>
                <w:szCs w:val="24"/>
              </w:rPr>
              <w:t xml:space="preserve">CPV oznaka: </w:t>
            </w:r>
            <w:r w:rsidR="001F1C0A" w:rsidRPr="001F1C0A">
              <w:rPr>
                <w:bCs/>
                <w:sz w:val="24"/>
                <w:szCs w:val="24"/>
              </w:rPr>
              <w:t>71242000-6</w:t>
            </w:r>
            <w:r w:rsidR="001F1C0A">
              <w:rPr>
                <w:bCs/>
                <w:sz w:val="24"/>
                <w:szCs w:val="24"/>
              </w:rPr>
              <w:t xml:space="preserve"> - </w:t>
            </w:r>
            <w:r w:rsidR="001F1C0A" w:rsidRPr="001F1C0A">
              <w:rPr>
                <w:bCs/>
                <w:sz w:val="24"/>
                <w:szCs w:val="24"/>
              </w:rPr>
              <w:t>Izrada projekta i nacrta, procjena troškova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528F0E06" w:rsidR="00FF61E7" w:rsidRPr="00826B5B" w:rsidRDefault="001F1C0A" w:rsidP="001F1C0A">
      <w:pPr>
        <w:jc w:val="both"/>
      </w:pPr>
      <w:r>
        <w:t>Luka Mihalović</w:t>
      </w:r>
      <w:r w:rsidR="00173D80" w:rsidRPr="00826B5B">
        <w:t xml:space="preserve">, </w:t>
      </w:r>
      <w:r w:rsidRPr="001F1C0A">
        <w:t>Pomoćnik pročelnika Upravnog odjela za komunalno gospodarstvo, prostorno uređenje i zaštitu okoliša</w:t>
      </w:r>
    </w:p>
    <w:p w14:paraId="49ADE882" w14:textId="71687B2F" w:rsidR="00501B78" w:rsidRPr="00826B5B" w:rsidRDefault="001F1C0A" w:rsidP="001F1C0A">
      <w:pPr>
        <w:tabs>
          <w:tab w:val="left" w:pos="426"/>
        </w:tabs>
      </w:pPr>
      <w:r>
        <w:t>Mob</w:t>
      </w:r>
      <w:r w:rsidR="007914B5" w:rsidRPr="00826B5B">
        <w:t xml:space="preserve">: </w:t>
      </w:r>
      <w:r>
        <w:rPr>
          <w:rFonts w:asciiTheme="majorBidi" w:hAnsiTheme="majorBidi" w:cstheme="majorBidi"/>
        </w:rPr>
        <w:t>098/369-094</w:t>
      </w:r>
      <w:r>
        <w:t xml:space="preserve">, </w:t>
      </w:r>
      <w:r w:rsidR="00CE56B5" w:rsidRPr="00826B5B">
        <w:t>e</w:t>
      </w:r>
      <w:r w:rsidR="00501B78" w:rsidRPr="00826B5B">
        <w:t xml:space="preserve">-mail: </w:t>
      </w:r>
      <w:hyperlink r:id="rId10" w:history="1">
        <w:r w:rsidRPr="00A64623">
          <w:rPr>
            <w:rStyle w:val="Hyperlink"/>
          </w:rPr>
          <w:t>luka.mihalovic@omisalj.hr</w:t>
        </w:r>
      </w:hyperlink>
      <w:r>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1CBE6641" w:rsidR="004F51A4" w:rsidRDefault="001F1C0A" w:rsidP="00CF5ADC">
      <w:pPr>
        <w:rPr>
          <w:color w:val="000000"/>
        </w:rPr>
      </w:pPr>
      <w:r>
        <w:rPr>
          <w:color w:val="000000"/>
        </w:rPr>
        <w:t>45/23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28BB01AC" w:rsidR="004F51A4" w:rsidRPr="00C64053" w:rsidRDefault="001F1C0A" w:rsidP="00CF5ADC">
      <w:bookmarkStart w:id="0" w:name="_Hlk137197347"/>
      <w:r>
        <w:t xml:space="preserve">23.500,00 </w:t>
      </w:r>
      <w:bookmarkEnd w:id="0"/>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146A124A" w14:textId="0D4284B4" w:rsidR="001F1C0A" w:rsidRDefault="001F1C0A" w:rsidP="001F1C0A">
      <w:pPr>
        <w:jc w:val="both"/>
      </w:pPr>
      <w:r>
        <w:t xml:space="preserve">Predmet nabave </w:t>
      </w:r>
      <w:r w:rsidR="00FA5070" w:rsidRPr="00431A77">
        <w:t xml:space="preserve">je pružanje usluga izrade </w:t>
      </w:r>
      <w:r>
        <w:t xml:space="preserve">glavnog projekta </w:t>
      </w:r>
      <w:r w:rsidR="00FA5070">
        <w:t xml:space="preserve">za izvođenje radova na rekonstrukciji </w:t>
      </w:r>
      <w:r w:rsidR="00FA5070" w:rsidRPr="003B544A">
        <w:t xml:space="preserve">dječjeg vrtića u </w:t>
      </w:r>
      <w:r w:rsidR="00FA5070">
        <w:t xml:space="preserve">naselju </w:t>
      </w:r>
      <w:r w:rsidR="00FA5070" w:rsidRPr="003B544A">
        <w:t>Omiš</w:t>
      </w:r>
      <w:r w:rsidR="00FA5070">
        <w:t>a</w:t>
      </w:r>
      <w:r w:rsidR="00FA5070" w:rsidRPr="003B544A">
        <w:t>lj</w:t>
      </w:r>
      <w:r>
        <w:t xml:space="preserve">, sukladno </w:t>
      </w:r>
      <w:r w:rsidR="00E14BAB">
        <w:rPr>
          <w:rFonts w:asciiTheme="majorBidi" w:hAnsiTheme="majorBidi" w:cstheme="majorBidi"/>
        </w:rPr>
        <w:t>Glavnom</w:t>
      </w:r>
      <w:r w:rsidR="00E14BAB" w:rsidRPr="00B5579D">
        <w:rPr>
          <w:rFonts w:asciiTheme="majorBidi" w:hAnsiTheme="majorBidi" w:cstheme="majorBidi"/>
        </w:rPr>
        <w:t xml:space="preserve"> projektu oznake </w:t>
      </w:r>
      <w:r w:rsidR="00E14BAB">
        <w:rPr>
          <w:rFonts w:asciiTheme="majorBidi" w:hAnsiTheme="majorBidi" w:cstheme="majorBidi"/>
        </w:rPr>
        <w:t>14/10</w:t>
      </w:r>
      <w:r w:rsidR="00E14BAB" w:rsidRPr="00B5579D">
        <w:rPr>
          <w:rFonts w:asciiTheme="majorBidi" w:hAnsiTheme="majorBidi" w:cstheme="majorBidi"/>
        </w:rPr>
        <w:t>, izrađenom od strane</w:t>
      </w:r>
      <w:r w:rsidR="00E14BAB">
        <w:rPr>
          <w:rFonts w:asciiTheme="majorBidi" w:hAnsiTheme="majorBidi" w:cstheme="majorBidi"/>
        </w:rPr>
        <w:t xml:space="preserve"> gospodarskog subjekta PROING d.o.o.</w:t>
      </w:r>
      <w:r w:rsidR="00E14BAB" w:rsidRPr="00B5579D">
        <w:rPr>
          <w:rFonts w:asciiTheme="majorBidi" w:hAnsiTheme="majorBidi" w:cstheme="majorBidi"/>
        </w:rPr>
        <w:t xml:space="preserve">, </w:t>
      </w:r>
      <w:r w:rsidR="00E14BAB">
        <w:rPr>
          <w:rFonts w:asciiTheme="majorBidi" w:hAnsiTheme="majorBidi" w:cstheme="majorBidi"/>
        </w:rPr>
        <w:t>Šenoina ulica 3</w:t>
      </w:r>
      <w:r w:rsidR="00E14BAB" w:rsidRPr="00B5579D">
        <w:rPr>
          <w:rFonts w:asciiTheme="majorBidi" w:hAnsiTheme="majorBidi" w:cstheme="majorBidi"/>
        </w:rPr>
        <w:t xml:space="preserve">, </w:t>
      </w:r>
      <w:r w:rsidR="00E14BAB">
        <w:rPr>
          <w:rFonts w:asciiTheme="majorBidi" w:hAnsiTheme="majorBidi" w:cstheme="majorBidi"/>
        </w:rPr>
        <w:t>10000 Zagreb</w:t>
      </w:r>
      <w:r w:rsidR="00E14BAB" w:rsidRPr="00B5579D">
        <w:rPr>
          <w:rFonts w:asciiTheme="majorBidi" w:hAnsiTheme="majorBidi" w:cstheme="majorBidi"/>
        </w:rPr>
        <w:t>, OIB 33487743969</w:t>
      </w:r>
      <w:r w:rsidR="00E14BAB">
        <w:rPr>
          <w:rFonts w:asciiTheme="majorBidi" w:hAnsiTheme="majorBidi" w:cstheme="majorBidi"/>
        </w:rPr>
        <w:t xml:space="preserve"> (dalje u tekstu: Glavni projekt)</w:t>
      </w:r>
      <w:r w:rsidR="00E14BAB">
        <w:rPr>
          <w:rFonts w:asciiTheme="majorBidi" w:hAnsiTheme="majorBidi" w:cstheme="majorBidi"/>
        </w:rPr>
        <w:t xml:space="preserve"> te </w:t>
      </w:r>
      <w:r>
        <w:t>Projektnom zadatku koji</w:t>
      </w:r>
      <w:r w:rsidR="00E14BAB">
        <w:t>m je detaljno opisan predmet nabave. Projektni zadatak</w:t>
      </w:r>
      <w:r>
        <w:t xml:space="preserve"> </w:t>
      </w:r>
      <w:r w:rsidR="00E14BAB">
        <w:t>se stavlja na raspolaganje</w:t>
      </w:r>
      <w:r>
        <w:t xml:space="preserve"> ponuditeljima kao Prilog 2. ovog Poziva. </w:t>
      </w:r>
    </w:p>
    <w:p w14:paraId="444C661E" w14:textId="77777777" w:rsidR="001F1C0A" w:rsidRDefault="001F1C0A" w:rsidP="001F1C0A">
      <w:pPr>
        <w:jc w:val="both"/>
      </w:pPr>
    </w:p>
    <w:p w14:paraId="41F66072" w14:textId="5A75603D" w:rsidR="001F1C0A" w:rsidRDefault="001F1C0A" w:rsidP="001F1C0A">
      <w:pPr>
        <w:jc w:val="both"/>
        <w:rPr>
          <w:color w:val="000000"/>
        </w:rPr>
      </w:pPr>
      <w:r>
        <w:rPr>
          <w:color w:val="000000"/>
        </w:rPr>
        <w:t>Ponuditel</w:t>
      </w:r>
      <w:r w:rsidR="00DB0B4A">
        <w:rPr>
          <w:color w:val="000000"/>
        </w:rPr>
        <w:t>ji su dužni</w:t>
      </w:r>
      <w:r>
        <w:rPr>
          <w:color w:val="000000"/>
        </w:rPr>
        <w:t xml:space="preserve"> u</w:t>
      </w:r>
      <w:r w:rsidRPr="00C54D76">
        <w:rPr>
          <w:color w:val="000000"/>
        </w:rPr>
        <w:t xml:space="preserve"> </w:t>
      </w:r>
      <w:r>
        <w:rPr>
          <w:color w:val="000000"/>
        </w:rPr>
        <w:t xml:space="preserve">cijenu ponude </w:t>
      </w:r>
      <w:r w:rsidRPr="00484045">
        <w:rPr>
          <w:color w:val="000000"/>
        </w:rPr>
        <w:t xml:space="preserve">uključiti sve troškove </w:t>
      </w:r>
      <w:r w:rsidR="00DB0B4A" w:rsidRPr="00484045">
        <w:rPr>
          <w:color w:val="000000"/>
        </w:rPr>
        <w:t xml:space="preserve">neophodne </w:t>
      </w:r>
      <w:r w:rsidR="00DB0B4A" w:rsidRPr="00484045">
        <w:rPr>
          <w:bCs/>
        </w:rPr>
        <w:t xml:space="preserve">za izvršenje </w:t>
      </w:r>
      <w:r w:rsidR="00DB0B4A">
        <w:rPr>
          <w:bCs/>
        </w:rPr>
        <w:t>predmeta nabave</w:t>
      </w:r>
      <w:r w:rsidR="00DB0B4A" w:rsidRPr="00484045">
        <w:rPr>
          <w:bCs/>
        </w:rPr>
        <w:t xml:space="preserve">, poput troškova </w:t>
      </w:r>
      <w:r w:rsidR="00DB0B4A">
        <w:rPr>
          <w:bCs/>
        </w:rPr>
        <w:t>rada, opreme, prijevoza, tiskanja</w:t>
      </w:r>
      <w:r w:rsidR="00474140">
        <w:rPr>
          <w:bCs/>
        </w:rPr>
        <w:t>,</w:t>
      </w:r>
      <w:r w:rsidR="00DB0B4A">
        <w:rPr>
          <w:bCs/>
        </w:rPr>
        <w:t xml:space="preserve"> uvezivanja </w:t>
      </w:r>
      <w:r w:rsidR="00474140">
        <w:rPr>
          <w:bCs/>
        </w:rPr>
        <w:t>te dostave</w:t>
      </w:r>
      <w:r w:rsidR="00474140" w:rsidRPr="00484045">
        <w:rPr>
          <w:bCs/>
        </w:rPr>
        <w:t xml:space="preserve"> </w:t>
      </w:r>
      <w:r w:rsidR="00474140">
        <w:rPr>
          <w:bCs/>
        </w:rPr>
        <w:t xml:space="preserve">projektne dokumentacije </w:t>
      </w:r>
      <w:r w:rsidR="00DB0B4A" w:rsidRPr="00484045">
        <w:rPr>
          <w:bCs/>
        </w:rPr>
        <w:t xml:space="preserve">i sl. </w:t>
      </w:r>
      <w:r w:rsidR="00DB0B4A">
        <w:rPr>
          <w:bCs/>
        </w:rPr>
        <w:t>Bilo kakva naknada</w:t>
      </w:r>
      <w:r w:rsidR="00DB0B4A" w:rsidRPr="00484045">
        <w:rPr>
          <w:color w:val="000000"/>
        </w:rPr>
        <w:t xml:space="preserve"> iznad </w:t>
      </w:r>
      <w:r w:rsidR="00DB0B4A">
        <w:rPr>
          <w:color w:val="000000"/>
        </w:rPr>
        <w:t>ponuđene cijene</w:t>
      </w:r>
      <w:r w:rsidR="00DB0B4A" w:rsidRPr="00484045">
        <w:rPr>
          <w:color w:val="000000"/>
        </w:rPr>
        <w:t xml:space="preserve"> neće se priznavati.</w:t>
      </w:r>
    </w:p>
    <w:p w14:paraId="1902D54A" w14:textId="77777777" w:rsidR="001F1C0A" w:rsidRDefault="001F1C0A" w:rsidP="001F1C0A">
      <w:pPr>
        <w:jc w:val="both"/>
        <w:rPr>
          <w:color w:val="000000"/>
        </w:rPr>
      </w:pPr>
    </w:p>
    <w:p w14:paraId="219F69CD" w14:textId="5B21D82A" w:rsidR="001F1C0A" w:rsidRPr="00DB0B4A" w:rsidRDefault="001F1C0A" w:rsidP="00DB0B4A">
      <w:pPr>
        <w:jc w:val="both"/>
      </w:pPr>
      <w:r w:rsidRPr="0010207A">
        <w:rPr>
          <w:color w:val="000000"/>
        </w:rPr>
        <w:t xml:space="preserve">Odabrani ponuditelj dužan je </w:t>
      </w:r>
      <w:r>
        <w:rPr>
          <w:color w:val="000000"/>
        </w:rPr>
        <w:t xml:space="preserve">realizirati usluge koje su </w:t>
      </w:r>
      <w:r w:rsidRPr="0010207A">
        <w:rPr>
          <w:color w:val="000000"/>
        </w:rPr>
        <w:t xml:space="preserve">predmet </w:t>
      </w:r>
      <w:r>
        <w:rPr>
          <w:color w:val="000000"/>
        </w:rPr>
        <w:t xml:space="preserve">ovog postupka </w:t>
      </w:r>
      <w:r w:rsidRPr="0010207A">
        <w:rPr>
          <w:color w:val="000000"/>
        </w:rPr>
        <w:t xml:space="preserve">nabave svojom opremom, </w:t>
      </w:r>
      <w:r>
        <w:rPr>
          <w:color w:val="000000"/>
        </w:rPr>
        <w:t>vozilima i materijalom,</w:t>
      </w:r>
      <w:r w:rsidRPr="0010207A">
        <w:rPr>
          <w:color w:val="000000"/>
        </w:rPr>
        <w:t xml:space="preserve"> </w:t>
      </w:r>
      <w:r>
        <w:rPr>
          <w:color w:val="000000"/>
        </w:rPr>
        <w:t xml:space="preserve">te </w:t>
      </w:r>
      <w:r w:rsidRPr="0010207A">
        <w:rPr>
          <w:bCs/>
        </w:rPr>
        <w:t>u skladu</w:t>
      </w:r>
      <w:r w:rsidRPr="0010207A">
        <w:t xml:space="preserve"> s </w:t>
      </w:r>
      <w:r w:rsidR="00DB0B4A">
        <w:t xml:space="preserve">Glavnim projektom, </w:t>
      </w:r>
      <w:r w:rsidR="00DB0B4A" w:rsidRPr="00B5579D">
        <w:rPr>
          <w:rFonts w:asciiTheme="majorBidi" w:hAnsiTheme="majorBidi" w:cstheme="majorBidi"/>
        </w:rPr>
        <w:t>Projektn</w:t>
      </w:r>
      <w:r w:rsidR="00DB0B4A">
        <w:rPr>
          <w:rFonts w:asciiTheme="majorBidi" w:hAnsiTheme="majorBidi" w:cstheme="majorBidi"/>
        </w:rPr>
        <w:t>im zadatkom</w:t>
      </w:r>
      <w:r w:rsidR="00DB0B4A" w:rsidRPr="00B5579D">
        <w:rPr>
          <w:rFonts w:asciiTheme="majorBidi" w:hAnsiTheme="majorBidi" w:cstheme="majorBidi"/>
        </w:rPr>
        <w:t>, važećim pozitivnim propisima, normativima i standardima te pravilima struke</w:t>
      </w:r>
      <w:r w:rsidR="00DB0B4A">
        <w:rPr>
          <w:rFonts w:asciiTheme="majorBidi" w:hAnsiTheme="majorBidi" w:cstheme="majorBidi"/>
        </w:rPr>
        <w:t>.</w:t>
      </w:r>
      <w:r w:rsidRPr="00484045">
        <w:rPr>
          <w:color w:val="000000"/>
        </w:rPr>
        <w:t xml:space="preserve"> </w:t>
      </w:r>
    </w:p>
    <w:p w14:paraId="47053557" w14:textId="77777777" w:rsidR="00C64053" w:rsidRDefault="00C64053" w:rsidP="00C64053"/>
    <w:p w14:paraId="32E5CADE" w14:textId="60A0618F" w:rsidR="00102684" w:rsidRDefault="00102684" w:rsidP="00102684">
      <w:pPr>
        <w:jc w:val="both"/>
        <w:rPr>
          <w:rFonts w:asciiTheme="majorBidi" w:hAnsiTheme="majorBidi" w:cstheme="majorBidi"/>
        </w:rPr>
      </w:pPr>
      <w:r w:rsidRPr="00C64CA4">
        <w:rPr>
          <w:rFonts w:asciiTheme="majorBidi" w:hAnsiTheme="majorBidi" w:cstheme="majorBidi"/>
          <w:b/>
          <w:bCs/>
          <w:u w:val="single"/>
        </w:rPr>
        <w:t>Uzimajući u obzir kompleksnost predmet</w:t>
      </w:r>
      <w:r>
        <w:rPr>
          <w:rFonts w:asciiTheme="majorBidi" w:hAnsiTheme="majorBidi" w:cstheme="majorBidi"/>
          <w:b/>
          <w:bCs/>
          <w:u w:val="single"/>
        </w:rPr>
        <w:t>a</w:t>
      </w:r>
      <w:r w:rsidRPr="00C64CA4">
        <w:rPr>
          <w:rFonts w:asciiTheme="majorBidi" w:hAnsiTheme="majorBidi" w:cstheme="majorBidi"/>
          <w:b/>
          <w:bCs/>
          <w:u w:val="single"/>
        </w:rPr>
        <w:t xml:space="preserve"> nabave, ponuditeljima se preporuča obilazak lokacije.</w:t>
      </w:r>
      <w:r>
        <w:rPr>
          <w:rFonts w:asciiTheme="majorBidi" w:hAnsiTheme="majorBidi" w:cstheme="majorBidi"/>
        </w:rPr>
        <w:t xml:space="preserve"> Ponuditelji su u mogućnosti obaviti pregled lokacije o vlastitom trošku, uz napomenu da isti nije obvezan. </w:t>
      </w:r>
      <w:r w:rsidRPr="004606E0">
        <w:rPr>
          <w:rFonts w:asciiTheme="majorBidi" w:hAnsiTheme="majorBidi" w:cstheme="majorBidi"/>
        </w:rPr>
        <w:t xml:space="preserve">Smatrat će se da je </w:t>
      </w:r>
      <w:r>
        <w:rPr>
          <w:rFonts w:asciiTheme="majorBidi" w:hAnsiTheme="majorBidi" w:cstheme="majorBidi"/>
        </w:rPr>
        <w:t>ponuditelj</w:t>
      </w:r>
      <w:r w:rsidRPr="004606E0">
        <w:rPr>
          <w:rFonts w:asciiTheme="majorBidi" w:hAnsiTheme="majorBidi" w:cstheme="majorBidi"/>
        </w:rPr>
        <w:t xml:space="preserve"> prije davanja ponude upoznat s lokacijom, da je u svemu proučio dokumentaciju o nabavi, da je došao do svih potrebnih podataka koji utječu na </w:t>
      </w:r>
      <w:r>
        <w:rPr>
          <w:rFonts w:asciiTheme="majorBidi" w:hAnsiTheme="majorBidi" w:cstheme="majorBidi"/>
        </w:rPr>
        <w:t>realizaciju posla</w:t>
      </w:r>
      <w:r w:rsidRPr="004606E0">
        <w:rPr>
          <w:rFonts w:asciiTheme="majorBidi" w:hAnsiTheme="majorBidi" w:cstheme="majorBidi"/>
        </w:rPr>
        <w:t xml:space="preserve">, te da je na osnovu </w:t>
      </w:r>
      <w:r>
        <w:rPr>
          <w:rFonts w:asciiTheme="majorBidi" w:hAnsiTheme="majorBidi" w:cstheme="majorBidi"/>
        </w:rPr>
        <w:t>navedenog</w:t>
      </w:r>
      <w:r w:rsidRPr="004606E0">
        <w:rPr>
          <w:rFonts w:asciiTheme="majorBidi" w:hAnsiTheme="majorBidi" w:cstheme="majorBidi"/>
        </w:rPr>
        <w:t xml:space="preserve"> podnio svoju ponudu</w:t>
      </w:r>
      <w:r>
        <w:rPr>
          <w:rFonts w:asciiTheme="majorBidi" w:hAnsiTheme="majorBidi" w:cstheme="majorBidi"/>
        </w:rPr>
        <w:t xml:space="preserve">, slijedom čega isti neće imati pravo na naknadnu izmjenu odredaba sklopljenog ugovora s osnova nepoznavanja svega navedenog. </w:t>
      </w:r>
    </w:p>
    <w:p w14:paraId="34A482BC" w14:textId="77777777" w:rsidR="00102684" w:rsidRPr="00FC16EA" w:rsidRDefault="00102684" w:rsidP="00102684">
      <w:pPr>
        <w:pStyle w:val="ListParagraph"/>
        <w:ind w:left="0"/>
        <w:jc w:val="both"/>
        <w:rPr>
          <w:b/>
          <w:bCs/>
          <w:sz w:val="24"/>
          <w:szCs w:val="24"/>
        </w:rPr>
      </w:pPr>
    </w:p>
    <w:p w14:paraId="775CD94F" w14:textId="2F654BE5" w:rsidR="00102684" w:rsidRPr="00102684" w:rsidRDefault="00102684" w:rsidP="00102684">
      <w:pPr>
        <w:jc w:val="both"/>
        <w:rPr>
          <w:rFonts w:asciiTheme="majorBidi" w:hAnsiTheme="majorBidi" w:cstheme="majorBidi"/>
        </w:rPr>
      </w:pPr>
      <w:r>
        <w:rPr>
          <w:rFonts w:asciiTheme="majorBidi" w:hAnsiTheme="majorBidi" w:cstheme="majorBidi"/>
        </w:rPr>
        <w:t>Obilazak lokacije i/ili uvid u Glavni projekt moguće je izvršiti isključivo uz prethodnu najavu kontakt osobi Naručitelja</w:t>
      </w:r>
      <w:r>
        <w:rPr>
          <w:rFonts w:asciiTheme="majorBidi" w:hAnsiTheme="majorBidi" w:cstheme="majorBidi"/>
        </w:rPr>
        <w:t xml:space="preserve"> navedenoj u točki 2. ovog Poziva</w:t>
      </w:r>
      <w:r>
        <w:rPr>
          <w:rFonts w:asciiTheme="majorBidi" w:hAnsiTheme="majorBidi" w:cstheme="majorBidi"/>
        </w:rPr>
        <w:t>. Zainteresirani ponuditelji moraju se najaviti najmanje 48 sati prije planirane aktivnosti, a o točnom terminu pregleda bit će obaviješteni od strane Naručitelja.</w:t>
      </w:r>
    </w:p>
    <w:p w14:paraId="4E9E8875" w14:textId="77777777" w:rsidR="00102684" w:rsidRPr="00826B5B" w:rsidRDefault="00102684" w:rsidP="00C64053"/>
    <w:p w14:paraId="2DDC1DA1" w14:textId="6F0FE87A" w:rsidR="00C64053" w:rsidRPr="00826B5B" w:rsidRDefault="00C64053" w:rsidP="00C64053">
      <w:r w:rsidRPr="00826B5B">
        <w:t xml:space="preserve">CPV oznaka: </w:t>
      </w:r>
      <w:r w:rsidR="001F1C0A" w:rsidRPr="001F1C0A">
        <w:rPr>
          <w:bCs/>
        </w:rPr>
        <w:t>71242000-6</w:t>
      </w:r>
      <w:r w:rsidR="001F1C0A">
        <w:rPr>
          <w:bCs/>
        </w:rPr>
        <w:t xml:space="preserve"> - </w:t>
      </w:r>
      <w:r w:rsidR="001F1C0A" w:rsidRPr="001F1C0A">
        <w:rPr>
          <w:bCs/>
        </w:rPr>
        <w:t>Izrada projekta i nacrta, procjena troškova</w:t>
      </w:r>
      <w:r>
        <w:t>.</w:t>
      </w:r>
    </w:p>
    <w:p w14:paraId="1EAD960A" w14:textId="77777777" w:rsidR="00E516EC" w:rsidRDefault="00E516EC" w:rsidP="00CF5ADC">
      <w:pPr>
        <w:jc w:val="both"/>
        <w:rPr>
          <w:b/>
          <w:color w:val="000000"/>
        </w:rPr>
      </w:pPr>
    </w:p>
    <w:p w14:paraId="6B1E38C1" w14:textId="77777777" w:rsidR="00102684" w:rsidRDefault="00102684" w:rsidP="00CF5ADC">
      <w:pPr>
        <w:jc w:val="both"/>
        <w:rPr>
          <w:b/>
          <w:color w:val="000000"/>
        </w:rPr>
      </w:pPr>
    </w:p>
    <w:p w14:paraId="6284FF28" w14:textId="77777777" w:rsidR="00102684" w:rsidRPr="00826B5B" w:rsidRDefault="00102684"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0143D99B" w:rsidR="004F51A4" w:rsidRDefault="001F1C0A" w:rsidP="001F1C0A">
      <w:pPr>
        <w:jc w:val="both"/>
      </w:pPr>
      <w:r>
        <w:t xml:space="preserve">Prostori ponuditelja, prostori Naručitelja </w:t>
      </w:r>
      <w:r w:rsidR="00DB0B4A">
        <w:t>te</w:t>
      </w:r>
      <w:r>
        <w:t xml:space="preserve"> </w:t>
      </w:r>
      <w:r w:rsidR="00DB0B4A">
        <w:t>prostori dječjeg vrtića u naselju Omišalj</w:t>
      </w:r>
      <w:r>
        <w:t xml:space="preserve">, </w:t>
      </w:r>
      <w:r w:rsidR="00DB0B4A">
        <w:t xml:space="preserve">k.č.br. </w:t>
      </w:r>
      <w:r w:rsidR="00DB0B4A">
        <w:t>1489</w:t>
      </w:r>
      <w:r w:rsidR="00DB0B4A">
        <w:t>/1</w:t>
      </w:r>
      <w:r w:rsidR="00DB0B4A">
        <w:t>,</w:t>
      </w:r>
      <w:r w:rsidR="00DB0B4A">
        <w:t xml:space="preserve"> </w:t>
      </w:r>
      <w:r w:rsidR="00DB0B4A">
        <w:t>1489</w:t>
      </w:r>
      <w:r w:rsidR="00DB0B4A">
        <w:t>/</w:t>
      </w:r>
      <w:r w:rsidR="00DB0B4A">
        <w:t>2</w:t>
      </w:r>
      <w:r w:rsidR="00DB0B4A">
        <w:t xml:space="preserve">, </w:t>
      </w:r>
      <w:r w:rsidR="00DB0B4A">
        <w:t>1492/3 i dio 1054/1, sve</w:t>
      </w:r>
      <w:r w:rsidR="00DB0B4A">
        <w:t xml:space="preserve"> k.o. Omišalj</w:t>
      </w:r>
      <w:r w:rsidR="00DB0B4A">
        <w:t xml:space="preserve"> (stara izmjera), odnosno </w:t>
      </w:r>
      <w:r>
        <w:t xml:space="preserve">k.č.br. </w:t>
      </w:r>
      <w:r w:rsidR="00DB0B4A">
        <w:t>2113/1 i 2116/1</w:t>
      </w:r>
      <w:r>
        <w:t xml:space="preserve">, </w:t>
      </w:r>
      <w:r w:rsidR="00DB0B4A">
        <w:t xml:space="preserve">obje </w:t>
      </w:r>
      <w:r>
        <w:t>k.o. Omišalj-Njivice</w:t>
      </w:r>
      <w:r w:rsidR="00DB0B4A">
        <w:t xml:space="preserve"> (nova izmjera)</w:t>
      </w:r>
      <w:r w:rsidRPr="00826B5B">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3C257E88" w:rsidR="00C64053" w:rsidRDefault="00C64053" w:rsidP="00C64053">
      <w:pPr>
        <w:tabs>
          <w:tab w:val="left" w:pos="0"/>
        </w:tabs>
        <w:jc w:val="both"/>
        <w:rPr>
          <w:color w:val="000000"/>
        </w:rPr>
      </w:pPr>
      <w:r>
        <w:rPr>
          <w:color w:val="000000"/>
        </w:rPr>
        <w:t xml:space="preserve">Temeljem provedenog postupka sklopit će se ugovor o nabavi </w:t>
      </w:r>
      <w:r w:rsidR="001F1C0A">
        <w:rPr>
          <w:color w:val="000000"/>
        </w:rPr>
        <w:t>usluga</w:t>
      </w:r>
      <w:r>
        <w:rPr>
          <w:color w:val="000000"/>
        </w:rPr>
        <w:t>.</w:t>
      </w:r>
    </w:p>
    <w:p w14:paraId="6DB41EF5" w14:textId="77777777" w:rsidR="00C64053" w:rsidRDefault="00C64053" w:rsidP="00C64053">
      <w:pPr>
        <w:tabs>
          <w:tab w:val="left" w:pos="0"/>
        </w:tabs>
        <w:jc w:val="both"/>
        <w:rPr>
          <w:color w:val="000000"/>
        </w:rPr>
      </w:pPr>
    </w:p>
    <w:p w14:paraId="57365CEA" w14:textId="19C97EDE" w:rsidR="001F1C0A" w:rsidRPr="00826B5B" w:rsidRDefault="001F1C0A" w:rsidP="001F1C0A">
      <w:pPr>
        <w:tabs>
          <w:tab w:val="left" w:pos="0"/>
        </w:tabs>
        <w:jc w:val="both"/>
        <w:rPr>
          <w:color w:val="FF0000"/>
        </w:rPr>
      </w:pPr>
      <w:r w:rsidRPr="00826B5B">
        <w:rPr>
          <w:color w:val="000000"/>
        </w:rPr>
        <w:t xml:space="preserve">Ugovor se sklapa na razdoblje </w:t>
      </w:r>
      <w:r>
        <w:rPr>
          <w:color w:val="000000"/>
        </w:rPr>
        <w:t>do ishođenja građevinske dozvole</w:t>
      </w:r>
      <w:r w:rsidRPr="00826B5B">
        <w:rPr>
          <w:color w:val="000000"/>
        </w:rPr>
        <w:t>.</w:t>
      </w:r>
      <w:r>
        <w:rPr>
          <w:color w:val="000000"/>
        </w:rPr>
        <w:t xml:space="preserve"> </w:t>
      </w:r>
      <w:r w:rsidRPr="00AD6DAC">
        <w:rPr>
          <w:b/>
          <w:bCs/>
          <w:color w:val="000000"/>
        </w:rPr>
        <w:t xml:space="preserve">Rok za dostavu projektne dokumentacije je </w:t>
      </w:r>
      <w:r w:rsidR="00E14BAB">
        <w:rPr>
          <w:b/>
          <w:bCs/>
          <w:color w:val="000000"/>
        </w:rPr>
        <w:t>90</w:t>
      </w:r>
      <w:r w:rsidRPr="00AD6DAC">
        <w:rPr>
          <w:b/>
          <w:bCs/>
          <w:color w:val="000000"/>
        </w:rPr>
        <w:t xml:space="preserve"> </w:t>
      </w:r>
      <w:r>
        <w:rPr>
          <w:b/>
          <w:bCs/>
          <w:color w:val="000000"/>
        </w:rPr>
        <w:t>(</w:t>
      </w:r>
      <w:r w:rsidR="00E14BAB">
        <w:rPr>
          <w:b/>
          <w:bCs/>
          <w:color w:val="000000"/>
        </w:rPr>
        <w:t>devedeset</w:t>
      </w:r>
      <w:r>
        <w:rPr>
          <w:b/>
          <w:bCs/>
          <w:color w:val="000000"/>
        </w:rPr>
        <w:t xml:space="preserve">) </w:t>
      </w:r>
      <w:r w:rsidRPr="00AD6DAC">
        <w:rPr>
          <w:b/>
          <w:bCs/>
          <w:color w:val="000000"/>
        </w:rPr>
        <w:t>dana od dana potpisa ugovora o nabavi.</w:t>
      </w:r>
      <w:r>
        <w:rPr>
          <w:color w:val="000000"/>
        </w:rPr>
        <w:t xml:space="preserve"> U slučaju neopravdanog prekoračenja navedenog roka odabranom ponuditelju </w:t>
      </w:r>
      <w:r w:rsidRPr="0010207A">
        <w:t>će se obračunati i naplatiti ugovorom definirana kazna</w:t>
      </w:r>
      <w: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205125D5" w14:textId="77777777" w:rsidR="00FA5070" w:rsidRPr="00E14BAB" w:rsidRDefault="00FA5070" w:rsidP="00FA5070">
      <w:pPr>
        <w:tabs>
          <w:tab w:val="left" w:pos="0"/>
        </w:tabs>
        <w:jc w:val="both"/>
        <w:rPr>
          <w:bCs/>
          <w:color w:val="000000"/>
        </w:rPr>
      </w:pPr>
      <w:r w:rsidRPr="00E14BAB">
        <w:rPr>
          <w:bCs/>
          <w:color w:val="000000"/>
        </w:rPr>
        <w:t>Plaćanje se vršiti ovisno o dinamici realizacije posla, u 2 (dvije) faze:</w:t>
      </w:r>
    </w:p>
    <w:p w14:paraId="642517B8" w14:textId="77777777" w:rsidR="00FA5070" w:rsidRPr="00E14BAB" w:rsidRDefault="00FA5070" w:rsidP="00FA5070">
      <w:pPr>
        <w:tabs>
          <w:tab w:val="left" w:pos="0"/>
        </w:tabs>
        <w:jc w:val="both"/>
        <w:rPr>
          <w:bCs/>
          <w:color w:val="000000"/>
        </w:rPr>
      </w:pPr>
      <w:r w:rsidRPr="00E14BAB">
        <w:rPr>
          <w:bCs/>
          <w:color w:val="000000"/>
        </w:rPr>
        <w:t>1. faza: po dovršetku izrade projektne dokumentacije - 90% ugovorenog iznosa</w:t>
      </w:r>
    </w:p>
    <w:p w14:paraId="7E0BE8A6" w14:textId="77777777" w:rsidR="00FA5070" w:rsidRPr="00E14BAB" w:rsidRDefault="00FA5070" w:rsidP="00FA5070">
      <w:pPr>
        <w:tabs>
          <w:tab w:val="left" w:pos="0"/>
        </w:tabs>
        <w:jc w:val="both"/>
        <w:rPr>
          <w:bCs/>
          <w:color w:val="000000"/>
        </w:rPr>
      </w:pPr>
      <w:r w:rsidRPr="00E14BAB">
        <w:rPr>
          <w:bCs/>
          <w:color w:val="000000"/>
        </w:rPr>
        <w:t>2. faza: po ishođenju građevinske dozvole - 10% ugovorenog iznosa.</w:t>
      </w:r>
    </w:p>
    <w:p w14:paraId="29E91D58" w14:textId="77777777" w:rsidR="00FA5070" w:rsidRPr="00E14BAB" w:rsidRDefault="00FA5070" w:rsidP="00FA5070">
      <w:pPr>
        <w:pStyle w:val="ListParagraph"/>
        <w:tabs>
          <w:tab w:val="left" w:pos="0"/>
        </w:tabs>
        <w:ind w:left="720"/>
        <w:jc w:val="both"/>
        <w:rPr>
          <w:bCs/>
          <w:color w:val="000000"/>
        </w:rPr>
      </w:pPr>
    </w:p>
    <w:p w14:paraId="6F178851" w14:textId="77777777" w:rsidR="00FA5070" w:rsidRPr="00E85D4D" w:rsidRDefault="00FA5070" w:rsidP="00FA5070">
      <w:pPr>
        <w:tabs>
          <w:tab w:val="left" w:pos="0"/>
        </w:tabs>
        <w:jc w:val="both"/>
        <w:rPr>
          <w:bCs/>
          <w:color w:val="000000"/>
        </w:rPr>
      </w:pPr>
      <w:r w:rsidRPr="00E14BAB">
        <w:rPr>
          <w:bCs/>
          <w:color w:val="000000"/>
        </w:rPr>
        <w:t>Plaćanje će se izvršiti u roku od 30 dana od zaprimanja valjanog računa ispostavljenog temeljem realizirane faze posla.</w:t>
      </w:r>
      <w:r w:rsidRPr="00E85D4D">
        <w:rPr>
          <w:bCs/>
          <w:color w:val="000000"/>
        </w:rPr>
        <w:t xml:space="preserve">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1"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2" w:name="_Hlk118726138"/>
      <w:r w:rsidR="00086843" w:rsidRPr="00826B5B">
        <w:t xml:space="preserve">lista </w:t>
      </w:r>
      <w:r w:rsidR="00086843">
        <w:t xml:space="preserve">stavlja se </w:t>
      </w:r>
      <w:bookmarkStart w:id="3" w:name="_Hlk118726199"/>
      <w:r w:rsidR="00086843">
        <w:t>na raspolaganje</w:t>
      </w:r>
      <w:r w:rsidR="00086843" w:rsidRPr="00826B5B">
        <w:t xml:space="preserve"> </w:t>
      </w:r>
      <w:bookmarkEnd w:id="2"/>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0333DE46" w14:textId="77777777" w:rsidR="00474140" w:rsidRDefault="00474140" w:rsidP="00CF5ADC">
      <w:pPr>
        <w:tabs>
          <w:tab w:val="left" w:pos="0"/>
        </w:tabs>
        <w:jc w:val="both"/>
      </w:pPr>
    </w:p>
    <w:p w14:paraId="65C99F12" w14:textId="77777777" w:rsidR="00474140" w:rsidRPr="00826B5B" w:rsidRDefault="00474140" w:rsidP="00CF5ADC">
      <w:pPr>
        <w:tabs>
          <w:tab w:val="left" w:pos="0"/>
        </w:tabs>
        <w:jc w:val="both"/>
      </w:pPr>
    </w:p>
    <w:bookmarkEnd w:id="1"/>
    <w:bookmarkEnd w:id="3"/>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lastRenderedPageBreak/>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12C851B7" w14:textId="77777777" w:rsidR="00474140" w:rsidRDefault="00474140"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lastRenderedPageBreak/>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69C1B68C" w:rsidR="00C64053" w:rsidRPr="00EA06DD" w:rsidRDefault="00C64053" w:rsidP="00C64053">
      <w:pPr>
        <w:jc w:val="center"/>
        <w:rPr>
          <w:b/>
          <w:bCs/>
          <w:color w:val="000000"/>
        </w:rPr>
      </w:pPr>
      <w:r w:rsidRPr="00EA06DD">
        <w:rPr>
          <w:b/>
          <w:bCs/>
          <w:color w:val="000000"/>
        </w:rPr>
        <w:t xml:space="preserve">Predmet nabave: </w:t>
      </w:r>
      <w:r w:rsidR="00DB0B4A" w:rsidRPr="00DB0B4A">
        <w:rPr>
          <w:b/>
        </w:rPr>
        <w:t>Izrada glavnog projekta rekonstrukcije dječjeg vrtića u Omišlju</w:t>
      </w:r>
    </w:p>
    <w:p w14:paraId="07EA418E" w14:textId="3376E4B4"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DB0B4A" w:rsidRPr="00DB0B4A">
        <w:rPr>
          <w:b/>
          <w:bCs/>
          <w:color w:val="000000"/>
        </w:rPr>
        <w:t>45/23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1E83695A" w:rsidR="0008372D" w:rsidRDefault="00AA3498" w:rsidP="00CF5ADC">
      <w:pPr>
        <w:jc w:val="both"/>
        <w:rPr>
          <w:color w:val="000000"/>
        </w:rPr>
      </w:pPr>
      <w:r w:rsidRPr="00826B5B">
        <w:rPr>
          <w:color w:val="000000"/>
        </w:rPr>
        <w:t xml:space="preserve">Kriterij odabira ponude je </w:t>
      </w:r>
      <w:r w:rsidR="00C64053" w:rsidRPr="00DB0B4A">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5A3C6C6F" w:rsidR="00AA3498" w:rsidRPr="0008372D" w:rsidRDefault="00DB0B4A" w:rsidP="00AA3498">
      <w:pPr>
        <w:jc w:val="both"/>
        <w:rPr>
          <w:b/>
          <w:u w:val="single"/>
        </w:rPr>
      </w:pPr>
      <w:r>
        <w:rPr>
          <w:b/>
          <w:u w:val="single"/>
        </w:rPr>
        <w:t>27. lipnja</w:t>
      </w:r>
      <w:r w:rsidR="00C64053">
        <w:rPr>
          <w:b/>
          <w:u w:val="single"/>
        </w:rPr>
        <w:t xml:space="preserve"> </w:t>
      </w:r>
      <w:r w:rsidR="00AA53C0">
        <w:rPr>
          <w:b/>
          <w:u w:val="single"/>
        </w:rPr>
        <w:t>2023.</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lastRenderedPageBreak/>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7A7C746F" w:rsidR="00BD2986" w:rsidRPr="00826B5B" w:rsidRDefault="0008372D" w:rsidP="00CF5ADC">
      <w:pPr>
        <w:jc w:val="both"/>
      </w:pPr>
      <w:r>
        <w:t>O</w:t>
      </w:r>
      <w:r w:rsidR="00D36AC0" w:rsidRPr="00826B5B">
        <w:t>tvaranje ponuda održat će se</w:t>
      </w:r>
      <w:r w:rsidR="00AA3498">
        <w:t xml:space="preserve"> </w:t>
      </w:r>
      <w:r w:rsidR="00DB0B4A">
        <w:t>27. lipnja</w:t>
      </w:r>
      <w:r w:rsidR="00C64053">
        <w:t xml:space="preserve"> </w:t>
      </w:r>
      <w:r w:rsidR="00AA53C0">
        <w:t>2023.</w:t>
      </w:r>
      <w:r w:rsidR="00AA3498">
        <w:t xml:space="preserve"> </w:t>
      </w:r>
      <w:r w:rsidR="00D36AC0" w:rsidRPr="00826B5B">
        <w:t xml:space="preserve">u </w:t>
      </w:r>
      <w:r w:rsidR="00DB0B4A">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5E90BD08"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2712FAC3" w14:textId="4777A64C" w:rsidR="00AA3498" w:rsidRPr="00102684" w:rsidRDefault="00102684" w:rsidP="002B2F54">
      <w:pPr>
        <w:pStyle w:val="ListParagraph"/>
        <w:numPr>
          <w:ilvl w:val="0"/>
          <w:numId w:val="34"/>
        </w:numPr>
        <w:rPr>
          <w:sz w:val="24"/>
          <w:szCs w:val="24"/>
        </w:rPr>
      </w:pPr>
      <w:r w:rsidRPr="00102684">
        <w:rPr>
          <w:sz w:val="24"/>
          <w:szCs w:val="24"/>
        </w:rPr>
        <w:t>Projektni zadatak.</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474140">
      <w:pPr>
        <w:ind w:left="5664"/>
        <w:jc w:val="center"/>
        <w:rPr>
          <w:b/>
          <w:bCs/>
        </w:rPr>
      </w:pPr>
      <w:r w:rsidRPr="00826B5B">
        <w:rPr>
          <w:b/>
        </w:rPr>
        <w:t xml:space="preserve">   </w:t>
      </w:r>
      <w:r w:rsidR="00B62F82">
        <w:rPr>
          <w:b/>
          <w:bCs/>
        </w:rPr>
        <w:t>PROČELNICA</w:t>
      </w:r>
    </w:p>
    <w:p w14:paraId="1282C781" w14:textId="50D4314B" w:rsidR="00E7343C" w:rsidRPr="004F51A4" w:rsidRDefault="00865195" w:rsidP="00474140">
      <w:pPr>
        <w:ind w:left="5664"/>
        <w:jc w:val="center"/>
        <w:rPr>
          <w:b/>
          <w:bCs/>
        </w:rPr>
      </w:pPr>
      <w:r>
        <w:rPr>
          <w:b/>
          <w:bCs/>
        </w:rPr>
        <w:t xml:space="preserve">Maja Mahulja, dipl. </w:t>
      </w:r>
      <w:proofErr w:type="spellStart"/>
      <w:r w:rsidRPr="00F7278C">
        <w:rPr>
          <w:b/>
          <w:bCs/>
        </w:rPr>
        <w:t>oec</w:t>
      </w:r>
      <w:proofErr w:type="spellEnd"/>
      <w:r w:rsidRPr="00F7278C">
        <w:rPr>
          <w:b/>
          <w:bCs/>
        </w:rPr>
        <w:t>.</w:t>
      </w:r>
      <w:r w:rsidR="002E439D" w:rsidRPr="00474140">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1D78D" w14:textId="77777777" w:rsidR="002F0BFA" w:rsidRDefault="002F0BFA">
      <w:r>
        <w:separator/>
      </w:r>
    </w:p>
  </w:endnote>
  <w:endnote w:type="continuationSeparator" w:id="0">
    <w:p w14:paraId="6CE11961" w14:textId="77777777" w:rsidR="002F0BFA" w:rsidRDefault="002F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listo MT"/>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5F7D0" w14:textId="77777777" w:rsidR="002F0BFA" w:rsidRDefault="002F0BFA">
      <w:r>
        <w:separator/>
      </w:r>
    </w:p>
  </w:footnote>
  <w:footnote w:type="continuationSeparator" w:id="0">
    <w:p w14:paraId="28DF52E2" w14:textId="77777777" w:rsidR="002F0BFA" w:rsidRDefault="002F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2684"/>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1C0A"/>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BFA"/>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14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0B4A"/>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4BAB"/>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5070"/>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uka.mihalov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13035</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2021-08-12T09:07:00Z</cp:lastPrinted>
  <dcterms:created xsi:type="dcterms:W3CDTF">2023-06-12T12:37:00Z</dcterms:created>
  <dcterms:modified xsi:type="dcterms:W3CDTF">2023-06-12T12:37:00Z</dcterms:modified>
</cp:coreProperties>
</file>