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2E2831A2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F47AD7" w:rsidRPr="00F47AD7">
        <w:t>Prijevoz i rukovanje opremom za manifestacije u 2026. godini</w:t>
      </w:r>
    </w:p>
    <w:p w14:paraId="72D3BC5D" w14:textId="3F7D3E5E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F47AD7">
        <w:t>002/26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2FBC" w14:textId="77777777" w:rsidR="00216A26" w:rsidRDefault="00216A26" w:rsidP="00107873">
      <w:r>
        <w:separator/>
      </w:r>
    </w:p>
  </w:endnote>
  <w:endnote w:type="continuationSeparator" w:id="0">
    <w:p w14:paraId="1D2284B0" w14:textId="77777777" w:rsidR="00216A26" w:rsidRDefault="00216A26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8EC9" w14:textId="77777777" w:rsidR="00216A26" w:rsidRDefault="00216A26" w:rsidP="00107873">
      <w:r>
        <w:separator/>
      </w:r>
    </w:p>
  </w:footnote>
  <w:footnote w:type="continuationSeparator" w:id="0">
    <w:p w14:paraId="455AB6CD" w14:textId="77777777" w:rsidR="00216A26" w:rsidRDefault="00216A26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16A26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C4998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47AD7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1153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2026-04-01T10:28:00Z</dcterms:created>
  <dcterms:modified xsi:type="dcterms:W3CDTF">2026-04-01T10:28:00Z</dcterms:modified>
</cp:coreProperties>
</file>